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ind w:right="300"/>
        <w:jc w:val="both"/>
        <w:rPr>
          <w:rFonts w:ascii="Times New Roman" w:eastAsia="Arial" w:hAnsi="Times New Roman" w:cs="Times New Roman"/>
          <w:b/>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18"/>
        <w:gridCol w:w="3019"/>
        <w:gridCol w:w="3019"/>
      </w:tblGrid>
      <w:tr>
        <w:tc>
          <w:tcPr>
            <w:tcW w:w="3018" w:type="dxa"/>
          </w:tcPr>
          <w:p>
            <w:pPr>
              <w:jc w:val="both"/>
              <w:rPr>
                <w:rFonts w:ascii="Times New Roman" w:hAnsi="Times New Roman" w:cs="Times New Roman"/>
              </w:rPr>
            </w:pPr>
          </w:p>
        </w:tc>
        <w:tc>
          <w:tcPr>
            <w:tcW w:w="3019" w:type="dxa"/>
          </w:tcPr>
          <w:p>
            <w:pPr>
              <w:jc w:val="both"/>
              <w:rPr>
                <w:rFonts w:ascii="Times New Roman" w:hAnsi="Times New Roman" w:cs="Times New Roman"/>
              </w:rPr>
            </w:pPr>
          </w:p>
        </w:tc>
        <w:tc>
          <w:tcPr>
            <w:tcW w:w="3019" w:type="dxa"/>
          </w:tcPr>
          <w:p>
            <w:pPr>
              <w:jc w:val="both"/>
              <w:rPr>
                <w:rFonts w:ascii="Times New Roman" w:hAnsi="Times New Roman" w:cs="Times New Roman"/>
              </w:rPr>
            </w:pPr>
          </w:p>
        </w:tc>
      </w:tr>
    </w:tbl>
    <w:p>
      <w:pPr>
        <w:jc w:val="both"/>
        <w:rPr>
          <w:rFonts w:ascii="Times New Roman" w:hAnsi="Times New Roman" w:cs="Times New Roman"/>
          <w:highlight w:val="lightGray"/>
        </w:rPr>
      </w:pPr>
      <w:r>
        <w:rPr>
          <w:rFonts w:ascii="Times New Roman" w:hAnsi="Times New Roman" w:cs="Times New Roman"/>
          <w:highlight w:val="lightGray"/>
        </w:rPr>
        <w:t>Amt / Stelle / Behörde</w:t>
      </w:r>
    </w:p>
    <w:p>
      <w:pPr>
        <w:jc w:val="both"/>
        <w:rPr>
          <w:rFonts w:ascii="Times New Roman" w:hAnsi="Times New Roman" w:cs="Times New Roman"/>
          <w:highlight w:val="lightGray"/>
        </w:rPr>
      </w:pPr>
      <w:r>
        <w:rPr>
          <w:rFonts w:ascii="Times New Roman" w:hAnsi="Times New Roman" w:cs="Times New Roman"/>
          <w:highlight w:val="lightGray"/>
        </w:rPr>
        <w:t>Referat / Abteilung</w:t>
      </w:r>
    </w:p>
    <w:p>
      <w:pPr>
        <w:jc w:val="both"/>
        <w:rPr>
          <w:rFonts w:ascii="Times New Roman" w:hAnsi="Times New Roman" w:cs="Times New Roman"/>
          <w:highlight w:val="lightGray"/>
        </w:rPr>
      </w:pPr>
      <w:r>
        <w:rPr>
          <w:rFonts w:ascii="Times New Roman" w:hAnsi="Times New Roman" w:cs="Times New Roman"/>
          <w:highlight w:val="lightGray"/>
        </w:rPr>
        <w:t>Anrede Name Amtsleitung</w:t>
      </w:r>
    </w:p>
    <w:p>
      <w:pPr>
        <w:jc w:val="both"/>
        <w:rPr>
          <w:rFonts w:ascii="Times New Roman" w:hAnsi="Times New Roman" w:cs="Times New Roman"/>
          <w:highlight w:val="lightGray"/>
        </w:rPr>
      </w:pPr>
      <w:r>
        <w:rPr>
          <w:rFonts w:ascii="Times New Roman" w:hAnsi="Times New Roman" w:cs="Times New Roman"/>
          <w:highlight w:val="lightGray"/>
        </w:rPr>
        <w:t>Straße und Hausnummer</w:t>
      </w:r>
    </w:p>
    <w:p>
      <w:pPr>
        <w:jc w:val="both"/>
        <w:rPr>
          <w:rFonts w:ascii="Times New Roman" w:hAnsi="Times New Roman" w:cs="Times New Roman"/>
          <w:highlight w:val="lightGray"/>
        </w:rPr>
      </w:pPr>
      <w:r>
        <w:rPr>
          <w:rFonts w:ascii="Times New Roman" w:hAnsi="Times New Roman" w:cs="Times New Roman"/>
          <w:highlight w:val="lightGray"/>
        </w:rPr>
        <w:t>PLZ, Ort</w:t>
      </w:r>
    </w:p>
    <w:p>
      <w:pPr>
        <w:jc w:val="both"/>
        <w:rPr>
          <w:rFonts w:ascii="Times New Roman" w:hAnsi="Times New Roman" w:cs="Times New Roman"/>
        </w:rPr>
      </w:pPr>
      <w:r>
        <w:rPr>
          <w:rFonts w:ascii="Times New Roman" w:hAnsi="Times New Roman" w:cs="Times New Roman"/>
          <w:highlight w:val="lightGray"/>
        </w:rPr>
        <w:t>Land</w:t>
      </w:r>
    </w:p>
    <w:p>
      <w:pPr>
        <w:jc w:val="both"/>
        <w:rPr>
          <w:rFonts w:ascii="Times New Roman" w:hAnsi="Times New Roman" w:cs="Times New Roman"/>
        </w:rPr>
      </w:pPr>
    </w:p>
    <w:p>
      <w:pPr>
        <w:jc w:val="right"/>
        <w:rPr>
          <w:rFonts w:ascii="Times New Roman" w:hAnsi="Times New Roman" w:cs="Times New Roman"/>
        </w:rPr>
      </w:pPr>
      <w:r>
        <w:rPr>
          <w:rFonts w:ascii="Times New Roman" w:hAnsi="Times New Roman" w:cs="Times New Roman"/>
          <w:highlight w:val="lightGray"/>
        </w:rPr>
        <w:t>Ort, Datum</w:t>
      </w:r>
    </w:p>
    <w:p>
      <w:pPr>
        <w:jc w:val="both"/>
        <w:rPr>
          <w:rFonts w:ascii="Times New Roman" w:hAnsi="Times New Roman" w:cs="Times New Roman"/>
          <w:b/>
        </w:rPr>
      </w:pPr>
    </w:p>
    <w:p>
      <w:pPr>
        <w:jc w:val="both"/>
        <w:rPr>
          <w:rFonts w:ascii="Times New Roman" w:hAnsi="Times New Roman" w:cs="Times New Roman"/>
          <w:b/>
        </w:rPr>
      </w:pPr>
    </w:p>
    <w:p>
      <w:pPr>
        <w:jc w:val="both"/>
        <w:rPr>
          <w:rFonts w:ascii="Times New Roman" w:hAnsi="Times New Roman" w:cs="Times New Roman"/>
        </w:rPr>
      </w:pPr>
      <w:r>
        <w:rPr>
          <w:rFonts w:ascii="Times New Roman" w:hAnsi="Times New Roman" w:cs="Times New Roman"/>
          <w:b/>
        </w:rPr>
        <w:t xml:space="preserve">Aktenzeichen: </w:t>
      </w:r>
      <w:r>
        <w:rPr>
          <w:rFonts w:ascii="Times New Roman" w:hAnsi="Times New Roman" w:cs="Times New Roman"/>
        </w:rPr>
        <w:t>[</w:t>
      </w:r>
      <w:r>
        <w:rPr>
          <w:rFonts w:ascii="Times New Roman" w:hAnsi="Times New Roman" w:cs="Times New Roman"/>
          <w:highlight w:val="lightGray"/>
        </w:rPr>
        <w:t>Aktenzeichen/Vorgangsnummer</w:t>
      </w:r>
      <w:r>
        <w:rPr>
          <w:rFonts w:ascii="Times New Roman" w:hAnsi="Times New Roman" w:cs="Times New Roman"/>
        </w:rPr>
        <w:t>]</w:t>
      </w:r>
    </w:p>
    <w:p>
      <w:pPr>
        <w:jc w:val="both"/>
        <w:rPr>
          <w:rFonts w:ascii="Times New Roman" w:hAnsi="Times New Roman" w:cs="Times New Roman"/>
        </w:rPr>
      </w:pPr>
    </w:p>
    <w:p>
      <w:pPr>
        <w:jc w:val="both"/>
        <w:rPr>
          <w:rFonts w:ascii="Times New Roman" w:hAnsi="Times New Roman" w:cs="Times New Roman"/>
          <w:b/>
        </w:rPr>
      </w:pPr>
    </w:p>
    <w:p>
      <w:pPr>
        <w:jc w:val="both"/>
        <w:rPr>
          <w:rFonts w:ascii="Times New Roman" w:hAnsi="Times New Roman" w:cs="Times New Roman"/>
          <w:b/>
        </w:rPr>
      </w:pPr>
    </w:p>
    <w:p>
      <w:pPr>
        <w:jc w:val="both"/>
        <w:rPr>
          <w:rFonts w:ascii="Times New Roman" w:hAnsi="Times New Roman" w:cs="Times New Roman"/>
          <w:b/>
        </w:rPr>
      </w:pPr>
      <w:r>
        <w:rPr>
          <w:rFonts w:ascii="Times New Roman" w:hAnsi="Times New Roman" w:cs="Times New Roman"/>
          <w:b/>
        </w:rPr>
        <w:t xml:space="preserve">Betrifft: Dienstaufsichtsbeschwerde </w:t>
      </w:r>
    </w:p>
    <w:p>
      <w:pPr>
        <w:jc w:val="both"/>
        <w:rPr>
          <w:rFonts w:ascii="Times New Roman" w:hAnsi="Times New Roman" w:cs="Times New Roman"/>
          <w:b/>
        </w:rPr>
      </w:pP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Sehr geehrte</w:t>
      </w:r>
      <w:r>
        <w:rPr>
          <w:rFonts w:ascii="Times New Roman" w:hAnsi="Times New Roman" w:cs="Times New Roman"/>
          <w:highlight w:val="lightGray"/>
        </w:rPr>
        <w:t>/r Anrede Name Ansprechpartner</w:t>
      </w:r>
      <w:r>
        <w:rPr>
          <w:rFonts w:ascii="Times New Roman" w:hAnsi="Times New Roman" w:cs="Times New Roman"/>
        </w:rPr>
        <w:t xml:space="preserve">, </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Hiermit erhebe ich </w:t>
      </w:r>
    </w:p>
    <w:p>
      <w:pPr>
        <w:jc w:val="both"/>
        <w:rPr>
          <w:rFonts w:ascii="Times New Roman" w:hAnsi="Times New Roman" w:cs="Times New Roman"/>
        </w:rPr>
      </w:pPr>
    </w:p>
    <w:p>
      <w:pPr>
        <w:jc w:val="both"/>
        <w:rPr>
          <w:rFonts w:ascii="Times New Roman" w:hAnsi="Times New Roman" w:cs="Times New Roman"/>
        </w:rPr>
      </w:pPr>
    </w:p>
    <w:p>
      <w:pPr>
        <w:jc w:val="center"/>
        <w:rPr>
          <w:rFonts w:ascii="Times New Roman" w:hAnsi="Times New Roman" w:cs="Times New Roman"/>
          <w:b/>
          <w:bCs/>
        </w:rPr>
      </w:pPr>
      <w:r>
        <w:rPr>
          <w:rFonts w:ascii="Times New Roman" w:hAnsi="Times New Roman" w:cs="Times New Roman"/>
          <w:b/>
          <w:bCs/>
        </w:rPr>
        <w:t xml:space="preserve">Dienst- und </w:t>
      </w:r>
      <w:r>
        <w:rPr>
          <w:rFonts w:ascii="Times New Roman" w:hAnsi="Times New Roman" w:cs="Times New Roman"/>
          <w:b/>
          <w:bCs/>
          <w:highlight w:val="yellow"/>
        </w:rPr>
        <w:t>Fachaufsichtsbeschwerde</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gegen</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highlight w:val="lightGray"/>
        </w:rPr>
        <w:t>Name, Position, Amt / Stelle / Behörde</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und rege an, </w:t>
      </w:r>
    </w:p>
    <w:p>
      <w:pPr>
        <w:jc w:val="both"/>
        <w:rPr>
          <w:rFonts w:ascii="Times New Roman" w:hAnsi="Times New Roman" w:cs="Times New Roman"/>
        </w:rPr>
      </w:pPr>
    </w:p>
    <w:p>
      <w:pPr>
        <w:jc w:val="both"/>
        <w:rPr>
          <w:rFonts w:ascii="Times New Roman" w:hAnsi="Times New Roman" w:cs="Times New Roman"/>
        </w:rPr>
      </w:pPr>
    </w:p>
    <w:p>
      <w:pPr>
        <w:jc w:val="center"/>
        <w:rPr>
          <w:rFonts w:ascii="Times New Roman" w:hAnsi="Times New Roman" w:cs="Times New Roman"/>
          <w:b/>
          <w:bCs/>
        </w:rPr>
      </w:pPr>
      <w:r>
        <w:rPr>
          <w:rFonts w:ascii="Times New Roman" w:hAnsi="Times New Roman" w:cs="Times New Roman"/>
          <w:b/>
          <w:bCs/>
        </w:rPr>
        <w:t>gegen [</w:t>
      </w:r>
      <w:r>
        <w:rPr>
          <w:rFonts w:ascii="Times New Roman" w:hAnsi="Times New Roman" w:cs="Times New Roman"/>
          <w:b/>
          <w:bCs/>
          <w:highlight w:val="lightGray"/>
        </w:rPr>
        <w:t>Name</w:t>
      </w:r>
      <w:r>
        <w:rPr>
          <w:rFonts w:ascii="Times New Roman" w:hAnsi="Times New Roman" w:cs="Times New Roman"/>
          <w:b/>
          <w:bCs/>
        </w:rPr>
        <w:t>] ein Disziplinarverfahren einzuleiten</w:t>
      </w:r>
    </w:p>
    <w:p>
      <w:pPr>
        <w:jc w:val="center"/>
        <w:rPr>
          <w:rFonts w:ascii="Times New Roman" w:hAnsi="Times New Roman" w:cs="Times New Roman"/>
          <w:b/>
          <w:bCs/>
        </w:rPr>
      </w:pPr>
    </w:p>
    <w:p>
      <w:pPr>
        <w:jc w:val="center"/>
        <w:rPr>
          <w:rFonts w:ascii="Times New Roman" w:hAnsi="Times New Roman" w:cs="Times New Roman"/>
          <w:bCs/>
        </w:rPr>
      </w:pPr>
      <w:r>
        <w:rPr>
          <w:rFonts w:ascii="Times New Roman" w:hAnsi="Times New Roman" w:cs="Times New Roman"/>
          <w:bCs/>
        </w:rPr>
        <w:t xml:space="preserve">und </w:t>
      </w:r>
    </w:p>
    <w:p>
      <w:pPr>
        <w:jc w:val="center"/>
        <w:rPr>
          <w:rFonts w:ascii="Times New Roman" w:hAnsi="Times New Roman" w:cs="Times New Roman"/>
          <w:bCs/>
        </w:rPr>
      </w:pPr>
    </w:p>
    <w:p>
      <w:pPr>
        <w:jc w:val="center"/>
        <w:rPr>
          <w:rFonts w:ascii="Times New Roman" w:hAnsi="Times New Roman" w:cs="Times New Roman"/>
          <w:b/>
          <w:bCs/>
        </w:rPr>
      </w:pPr>
      <w:r>
        <w:rPr>
          <w:rFonts w:ascii="Times New Roman" w:hAnsi="Times New Roman" w:cs="Times New Roman"/>
          <w:b/>
          <w:bCs/>
          <w:highlight w:val="yellow"/>
        </w:rPr>
        <w:t>unmittelbar Abhilfe zu schaffen, in dem den Betroffenen der Grenzübertritt in den Zuständigkeitsbereich der Bundesrepublik Deutschland gestattet und ein Verfahren zur Bestimmung des zuständigen Mitgliedsstaats für das Asylverfahren eingeleitet wird.</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b/>
        </w:rPr>
      </w:pPr>
    </w:p>
    <w:p>
      <w:pPr>
        <w:jc w:val="both"/>
        <w:rPr>
          <w:rFonts w:ascii="Times New Roman" w:hAnsi="Times New Roman" w:cs="Times New Roman"/>
          <w:b/>
        </w:rPr>
      </w:pPr>
      <w:r>
        <w:rPr>
          <w:rFonts w:ascii="Times New Roman" w:hAnsi="Times New Roman" w:cs="Times New Roman"/>
          <w:b/>
        </w:rPr>
        <w:t>Begründung</w:t>
      </w:r>
    </w:p>
    <w:p>
      <w:pPr>
        <w:jc w:val="both"/>
        <w:rPr>
          <w:rFonts w:ascii="Times New Roman" w:hAnsi="Times New Roman" w:cs="Times New Roman"/>
          <w:b/>
        </w:rPr>
      </w:pPr>
    </w:p>
    <w:p>
      <w:pPr>
        <w:jc w:val="both"/>
        <w:rPr>
          <w:rFonts w:ascii="Times New Roman" w:hAnsi="Times New Roman" w:cs="Times New Roman"/>
          <w:b/>
        </w:rPr>
      </w:pPr>
      <w:r>
        <w:rPr>
          <w:rFonts w:ascii="Times New Roman" w:hAnsi="Times New Roman" w:cs="Times New Roman"/>
          <w:b/>
        </w:rPr>
        <w:lastRenderedPageBreak/>
        <w:t>I. Sachverhalt</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Dem liegt folgender Sachverhalt zugrunde:</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1. [</w:t>
      </w:r>
      <w:r>
        <w:rPr>
          <w:rFonts w:ascii="Times New Roman" w:hAnsi="Times New Roman" w:cs="Times New Roman"/>
          <w:highlight w:val="lightGray"/>
        </w:rPr>
        <w:t>Name</w:t>
      </w:r>
      <w:r>
        <w:rPr>
          <w:rFonts w:ascii="Times New Roman" w:hAnsi="Times New Roman" w:cs="Times New Roman"/>
        </w:rPr>
        <w:t>] ist [</w:t>
      </w:r>
      <w:r>
        <w:rPr>
          <w:rFonts w:ascii="Times New Roman" w:hAnsi="Times New Roman" w:cs="Times New Roman"/>
          <w:highlight w:val="lightGray"/>
        </w:rPr>
        <w:t>Beamter, Position, Dienstpflicht, Dienstort, Aufgabenbeschreibung</w:t>
      </w:r>
      <w:r>
        <w:rPr>
          <w:rFonts w:ascii="Times New Roman" w:hAnsi="Times New Roman" w:cs="Times New Roman"/>
        </w:rPr>
        <w:t>]</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2. </w:t>
      </w:r>
      <w:r>
        <w:rPr>
          <w:rFonts w:ascii="Times New Roman" w:hAnsi="Times New Roman" w:cs="Times New Roman"/>
          <w:highlight w:val="lightGray"/>
        </w:rPr>
        <w:t>[Beschreibung des Sachverhalts]</w:t>
      </w:r>
      <w:r>
        <w:rPr>
          <w:rFonts w:ascii="Times New Roman" w:hAnsi="Times New Roman" w:cs="Times New Roman"/>
        </w:rPr>
        <w:t xml:space="preserve"> </w:t>
      </w:r>
    </w:p>
    <w:p>
      <w:pPr>
        <w:jc w:val="both"/>
        <w:rPr>
          <w:rFonts w:ascii="Times New Roman" w:hAnsi="Times New Roman" w:cs="Times New Roman"/>
        </w:rPr>
      </w:pPr>
      <w:r>
        <w:rPr>
          <w:rFonts w:ascii="Times New Roman" w:hAnsi="Times New Roman" w:cs="Times New Roman"/>
        </w:rPr>
        <w:t>Am [</w:t>
      </w:r>
      <w:r>
        <w:rPr>
          <w:rFonts w:ascii="Times New Roman" w:hAnsi="Times New Roman" w:cs="Times New Roman"/>
          <w:highlight w:val="lightGray"/>
        </w:rPr>
        <w:t>Datum</w:t>
      </w:r>
      <w:r>
        <w:rPr>
          <w:rFonts w:ascii="Times New Roman" w:hAnsi="Times New Roman" w:cs="Times New Roman"/>
        </w:rPr>
        <w:t>] war [</w:t>
      </w:r>
      <w:r>
        <w:rPr>
          <w:rFonts w:ascii="Times New Roman" w:hAnsi="Times New Roman" w:cs="Times New Roman"/>
          <w:highlight w:val="lightGray"/>
        </w:rPr>
        <w:t>Name</w:t>
      </w:r>
      <w:r>
        <w:rPr>
          <w:rFonts w:ascii="Times New Roman" w:hAnsi="Times New Roman" w:cs="Times New Roman"/>
        </w:rPr>
        <w:t xml:space="preserve">] im Rahmen </w:t>
      </w:r>
      <w:r>
        <w:rPr>
          <w:rFonts w:ascii="Times New Roman" w:hAnsi="Times New Roman" w:cs="Times New Roman"/>
          <w:highlight w:val="lightGray"/>
        </w:rPr>
        <w:t>seiner/ihrer</w:t>
      </w:r>
      <w:r>
        <w:rPr>
          <w:rFonts w:ascii="Times New Roman" w:hAnsi="Times New Roman" w:cs="Times New Roman"/>
        </w:rPr>
        <w:t xml:space="preserve"> Tätigkeit bei der Bundespolizei für die Durchführung von Grenzkontrollen an der deutschen Grenze [</w:t>
      </w:r>
      <w:r>
        <w:rPr>
          <w:rFonts w:ascii="Times New Roman" w:hAnsi="Times New Roman" w:cs="Times New Roman"/>
          <w:highlight w:val="lightGray"/>
        </w:rPr>
        <w:t>Ort</w:t>
      </w:r>
      <w:r>
        <w:rPr>
          <w:rFonts w:ascii="Times New Roman" w:hAnsi="Times New Roman" w:cs="Times New Roman"/>
        </w:rPr>
        <w:t xml:space="preserve">] zuständig. Im Rahmen </w:t>
      </w:r>
      <w:r>
        <w:rPr>
          <w:rFonts w:ascii="Times New Roman" w:hAnsi="Times New Roman" w:cs="Times New Roman"/>
          <w:highlight w:val="lightGray"/>
        </w:rPr>
        <w:t>seiner/ihrer</w:t>
      </w:r>
      <w:r>
        <w:rPr>
          <w:rFonts w:ascii="Times New Roman" w:hAnsi="Times New Roman" w:cs="Times New Roman"/>
        </w:rPr>
        <w:t xml:space="preserve"> Diensthandlung wies </w:t>
      </w:r>
      <w:r>
        <w:rPr>
          <w:rFonts w:ascii="Times New Roman" w:hAnsi="Times New Roman" w:cs="Times New Roman"/>
          <w:highlight w:val="lightGray"/>
        </w:rPr>
        <w:t>er/sie</w:t>
      </w:r>
      <w:r>
        <w:rPr>
          <w:rFonts w:ascii="Times New Roman" w:hAnsi="Times New Roman" w:cs="Times New Roman"/>
        </w:rPr>
        <w:t xml:space="preserve"> eine Person aus dem Drittstaat [</w:t>
      </w:r>
      <w:r>
        <w:rPr>
          <w:rFonts w:ascii="Times New Roman" w:hAnsi="Times New Roman" w:cs="Times New Roman"/>
          <w:highlight w:val="lightGray"/>
        </w:rPr>
        <w:t>Herkunftsland</w:t>
      </w:r>
      <w:r>
        <w:rPr>
          <w:rFonts w:ascii="Times New Roman" w:hAnsi="Times New Roman" w:cs="Times New Roman"/>
        </w:rPr>
        <w:t xml:space="preserve">] zurück, obwohl diese bei Grenzübertritt eindeutig mündlich einen Asylantrag stellte. </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Die Zurückweisung erfolgte, obwohl keine vorherige Prüfung nach der Dublin-III-Verordnung (EU) Nr. 604/2013 stattfand.</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b/>
        </w:rPr>
      </w:pPr>
      <w:r>
        <w:rPr>
          <w:rFonts w:ascii="Times New Roman" w:hAnsi="Times New Roman" w:cs="Times New Roman"/>
          <w:b/>
        </w:rPr>
        <w:t>II. Rechtliche Würdigung</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Damit hat [</w:t>
      </w:r>
      <w:r>
        <w:rPr>
          <w:rFonts w:ascii="Times New Roman" w:hAnsi="Times New Roman" w:cs="Times New Roman"/>
          <w:highlight w:val="lightGray"/>
        </w:rPr>
        <w:t>Name</w:t>
      </w:r>
      <w:r>
        <w:rPr>
          <w:rFonts w:ascii="Times New Roman" w:hAnsi="Times New Roman" w:cs="Times New Roman"/>
        </w:rPr>
        <w:t xml:space="preserve">] gegen seine/ihre beamtenrechtlichen Pflichten verstoßen, unter anderem gegen die Pflicht zur Gesetzestreue, § 60 Abs. 1 BBG. </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Der Beamte muss, bevor er eine dienstliche Handlung vornimmt, ihre Rechtmäßigkeit prüfen. Aus der Bindung der Verwaltung an Gesetz und Recht (Art. 20 Abs. 3 GG), einschließlich Gewohnheitsrechts, allgemeiner Regeln des Völkerrechts (Art. 25 GG), des Europarechts (dazu Sauerland ZBR 2007, 191; W/B/S/K I § 28 Rn. 25), allgemeiner verfassungsrechtlicher Prinzipien wie des Übermaßverbotes und Verbotes des Rechtsmissbrauchs folgt, dass der Beamte vor einer dienstlichen Handlung die Rechtsgeltung von vor- und nachkonstitutionellen Gesetzen, Rechtsverordnungen, Satzungen ebenso prüfen muss wie die Rechtmäßigkeit allgemeiner Richtlinien und amtlicher oder dienstlicher Weisungen seiner Vorgesetzten (W/B/S/K I § 28 Rn. 23–25, § 30, Battis BBG/Grigoleit, 6. Aufl. 2022, BBG § 63 Rn. 3, beck-online).</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Die Zurückweisung Schutzsuchender, die aus einem sicheren Mitgliedstaat der EU einreisen und einen unionsrechtlich wirksamen Antrag auf internationalen Schutz – wenn auch nur mündlich (VG Berlin, Beschluss vom 2. Juni 2025, VG 6 L 191/25, Rn. 46 mit Verweis auf EuGH, Urteil vom 26. Juli 2017 – C-670/16 – juris Rn. 84) – stellen, verletzt Unionsrecht sowie das Grundgesetz. Das Verwaltungsgericht Berlin hat mit Beschluss vom 2. Juni 2025 (VG 6 L 191/25) festgestellt, dass die pauschale Zurückweisung von Asylsuchenden, die aus einem sicheren Mitgliedstaat der EU einreisen, ohne Durchführung des Dublin-Verfahrens und ohne individuelle Prüfung rechtswidrig ist.</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 18 Abs. 2 Nr. 1 AsylG, auf den die Weisung des Bundesinnenministers vom 7. Mai, verweist, ist für Schutzsuchende, die aus einem Mitgliedstaat der EU einreisen aufgrund des Anwendungsvorrangs von Unionsrecht nicht anwendbar. </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Das vorrangig anzuwendende Unionsrecht gibt mit der Dublin-III-Verordnung vor, dass, sobald in einem Mitgliedstaat erstmals ein Antrag auf internationalen Schutz gestellt wird, in diesem Mitgliedstaat das in der Dublin-III-Verordnung geregelte Verfahren zur Bestimmung des zuständigen Mitgliedstaats für die Prüfung eines Antrags auf internationalen Schutz durchzuführen ist, bevor eine Rückführungsentscheidung getroffen werden kann.</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lastRenderedPageBreak/>
        <w:t xml:space="preserve">Gem. Art. 20 Abs. 1 und Art. 3 Abs. 1 der Dublin-III-Verordnung und der Asylverfahrensrichtlinie ist stets eine Prüfung in dem Mitgliedstaat durchzuführen, in dem tatsächlich erstmalig der Antrag auf internationalen Schutz geäußert wurde. Eine unmittelbare Zurückweisung ohne diese Prüfung ist nicht zulässig. Auch eine sogenannte Nichteinreisefiktion nach § 13 Abs. 2 Satz 2 AufenthG berührt die Anwendbarkeit der Dublin-III-Verordnung nicht. Eine Möglichkeit der Wahrung der Fiktion der Nichteinreise, wie sie in der Weisung des Bundesinnenministers vom 7. Mai anklingt, besteht daher nicht bzw. führt zu keiner anderen rechtlichen Bewertung. </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Eine Zurückweisung an der bundesdeutschen Grenze kann damit nur dann erfolgen, wenn ein anderer Mitgliedstaat gemäß den Regeln der Dublin-III-Verordnung für zuständig befunden wurde und dieser der Übernahme der Person zugestimmt hat (vgl. etwa EuGH, Urteil vom 31. Mai 2018 – C-647/16 – juris Rn. 75).</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Dies ist hier nicht erfolgt. </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Auch Art. 72 AEUV rechtfertigt keinen Verstoß gegen die Vorgaben aus der Dublin-III-Verordnung (VG Berlin, Beschluss vom 2. Juni 2025, 6 L 191/25, Rn. 56 ff; EuGH, Urteil vom 19. Dezember 2024 – C‑185/24 und C‑189/24 – juris Rn. 42). Des Weiteren besteht laut dem VG Berlin (a.a.O.) und der herrschenden Meinung in der Rechtswissenschaft (siehe Hruschka, Constantin: Dobrindts Rechtsbruch: Warum die aktuellen Kontrollen an den deutschen Binnengrenzen rechtswidrig sind, VerfBlog, 2025/5/15, </w:t>
      </w:r>
      <w:hyperlink r:id="rId4" w:history="1">
        <w:r>
          <w:rPr>
            <w:rStyle w:val="Hyperlink"/>
            <w:rFonts w:ascii="Times New Roman" w:hAnsi="Times New Roman" w:cs="Times New Roman"/>
          </w:rPr>
          <w:t>https://verfassungsblog.de/zuruckweisung-grenze-kontrolle-dobrindt/</w:t>
        </w:r>
      </w:hyperlink>
      <w:r>
        <w:rPr>
          <w:rFonts w:ascii="Times New Roman" w:hAnsi="Times New Roman" w:cs="Times New Roman"/>
        </w:rPr>
        <w:t xml:space="preserve">; Pichl, Maximilian: Zurückweisungen vor Gericht: Über den Beschluss (VG 6 L 191/25 u.a.) des VG Berlin, VerfBlog, 2025/6/03, </w:t>
      </w:r>
      <w:hyperlink r:id="rId5" w:history="1">
        <w:r>
          <w:rPr>
            <w:rStyle w:val="Hyperlink"/>
            <w:rFonts w:ascii="Times New Roman" w:hAnsi="Times New Roman" w:cs="Times New Roman"/>
          </w:rPr>
          <w:t>https://verfassungsblog.de/zuruckweisungen-gericht-migration-asyl/</w:t>
        </w:r>
      </w:hyperlink>
      <w:r>
        <w:rPr>
          <w:rFonts w:ascii="Times New Roman" w:hAnsi="Times New Roman" w:cs="Times New Roman"/>
        </w:rPr>
        <w:t>; Heinemann, Patrick: Nach Beschlüssen des VG Berlin, Legal Tribune Online, 04.06.2025, </w:t>
      </w:r>
      <w:hyperlink r:id="rId6" w:history="1">
        <w:r>
          <w:rPr>
            <w:rStyle w:val="Hyperlink"/>
            <w:rFonts w:ascii="Times New Roman" w:hAnsi="Times New Roman" w:cs="Times New Roman"/>
            <w:iCs/>
          </w:rPr>
          <w:t>https://www.lto.de/persistent/a_id/57342</w:t>
        </w:r>
      </w:hyperlink>
      <w:r>
        <w:rPr>
          <w:rFonts w:ascii="Times New Roman" w:hAnsi="Times New Roman" w:cs="Times New Roman"/>
        </w:rPr>
        <w:t>) schon keine hinreichende Gefahr für die öffentliche Ordnung oder Sicherheit im Sinne des Art. 72 AEUV.</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Damit liegt ein Dienstvergehen gem. § 77 BBG vor. </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Ein solcher Verstoß ist disziplinarrechtlich zu ahnden.</w:t>
      </w: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Insofern wird angeregt,</w:t>
      </w:r>
    </w:p>
    <w:p>
      <w:pPr>
        <w:jc w:val="both"/>
        <w:rPr>
          <w:rFonts w:ascii="Times New Roman" w:hAnsi="Times New Roman" w:cs="Times New Roman"/>
        </w:rPr>
      </w:pPr>
    </w:p>
    <w:p>
      <w:pPr>
        <w:jc w:val="both"/>
        <w:rPr>
          <w:rFonts w:ascii="Times New Roman" w:hAnsi="Times New Roman" w:cs="Times New Roman"/>
        </w:rPr>
      </w:pPr>
    </w:p>
    <w:p>
      <w:pPr>
        <w:jc w:val="center"/>
        <w:rPr>
          <w:rFonts w:ascii="Times New Roman" w:hAnsi="Times New Roman" w:cs="Times New Roman"/>
        </w:rPr>
      </w:pPr>
      <w:r>
        <w:rPr>
          <w:rFonts w:ascii="Times New Roman" w:hAnsi="Times New Roman" w:cs="Times New Roman"/>
        </w:rPr>
        <w:t>gegen [</w:t>
      </w:r>
      <w:r>
        <w:rPr>
          <w:rFonts w:ascii="Times New Roman" w:hAnsi="Times New Roman" w:cs="Times New Roman"/>
          <w:highlight w:val="lightGray"/>
        </w:rPr>
        <w:t>Name</w:t>
      </w:r>
      <w:r>
        <w:rPr>
          <w:rFonts w:ascii="Times New Roman" w:hAnsi="Times New Roman" w:cs="Times New Roman"/>
        </w:rPr>
        <w:t>] ein Disziplinarverfahren einzuleiten.</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Es wird weiter darum gebeten,</w:t>
      </w:r>
    </w:p>
    <w:p>
      <w:pPr>
        <w:jc w:val="both"/>
        <w:rPr>
          <w:rFonts w:ascii="Times New Roman" w:hAnsi="Times New Roman" w:cs="Times New Roman"/>
        </w:rPr>
      </w:pPr>
    </w:p>
    <w:p>
      <w:pPr>
        <w:jc w:val="both"/>
        <w:rPr>
          <w:rFonts w:ascii="Times New Roman" w:hAnsi="Times New Roman" w:cs="Times New Roman"/>
        </w:rPr>
      </w:pPr>
    </w:p>
    <w:p>
      <w:pPr>
        <w:jc w:val="center"/>
        <w:rPr>
          <w:rFonts w:ascii="Times New Roman" w:hAnsi="Times New Roman" w:cs="Times New Roman"/>
        </w:rPr>
      </w:pPr>
      <w:r>
        <w:rPr>
          <w:rFonts w:ascii="Times New Roman" w:hAnsi="Times New Roman" w:cs="Times New Roman"/>
        </w:rPr>
        <w:t xml:space="preserve">dem </w:t>
      </w:r>
      <w:r>
        <w:rPr>
          <w:rFonts w:ascii="Times New Roman" w:hAnsi="Times New Roman" w:cs="Times New Roman"/>
          <w:highlight w:val="lightGray"/>
        </w:rPr>
        <w:t>Unterzeichner/der Unterzeichnerin</w:t>
      </w:r>
      <w:r>
        <w:rPr>
          <w:rFonts w:ascii="Times New Roman" w:hAnsi="Times New Roman" w:cs="Times New Roman"/>
        </w:rPr>
        <w:t xml:space="preserve"> den Eingang der Dienstaufsichtsbeschwerde unter Angabe der Vorgangsnummer, unter der sie geführt wird, mitzuteilen,</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sowie</w:t>
      </w:r>
    </w:p>
    <w:p>
      <w:pPr>
        <w:jc w:val="both"/>
        <w:rPr>
          <w:rFonts w:ascii="Times New Roman" w:hAnsi="Times New Roman" w:cs="Times New Roman"/>
        </w:rPr>
      </w:pPr>
    </w:p>
    <w:p>
      <w:pPr>
        <w:jc w:val="both"/>
        <w:rPr>
          <w:rFonts w:ascii="Times New Roman" w:hAnsi="Times New Roman" w:cs="Times New Roman"/>
        </w:rPr>
      </w:pPr>
    </w:p>
    <w:p>
      <w:pPr>
        <w:jc w:val="center"/>
        <w:rPr>
          <w:rFonts w:ascii="Times New Roman" w:hAnsi="Times New Roman" w:cs="Times New Roman"/>
        </w:rPr>
      </w:pPr>
      <w:r>
        <w:rPr>
          <w:rFonts w:ascii="Times New Roman" w:hAnsi="Times New Roman" w:cs="Times New Roman"/>
        </w:rPr>
        <w:t xml:space="preserve">nach Prüfung des Vorbringens die Entscheidung </w:t>
      </w:r>
      <w:r>
        <w:rPr>
          <w:rFonts w:ascii="Times New Roman" w:hAnsi="Times New Roman" w:cs="Times New Roman"/>
          <w:highlight w:val="lightGray"/>
        </w:rPr>
        <w:t>des Dienstherrn/der Dienstherrin</w:t>
      </w:r>
      <w:r>
        <w:rPr>
          <w:rFonts w:ascii="Times New Roman" w:hAnsi="Times New Roman" w:cs="Times New Roman"/>
        </w:rPr>
        <w:t xml:space="preserve"> mitzuteilen.</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Im Übrigen werden straf- und haftungsrechtliche Verantwortung </w:t>
      </w:r>
      <w:r>
        <w:rPr>
          <w:rFonts w:ascii="Times New Roman" w:hAnsi="Times New Roman" w:cs="Times New Roman"/>
          <w:highlight w:val="lightGray"/>
        </w:rPr>
        <w:t>des Beamten/der Beamtin</w:t>
      </w:r>
      <w:r>
        <w:rPr>
          <w:rFonts w:ascii="Times New Roman" w:hAnsi="Times New Roman" w:cs="Times New Roman"/>
        </w:rPr>
        <w:t xml:space="preserve"> geprüft werden. </w:t>
      </w:r>
    </w:p>
    <w:p>
      <w:pPr>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Zuletzt wird angeregt, unmittelbar Abhilfe zu schaffen, in dem den Betroffenen der Grenzübertritt in den Zuständigkeitsbereich der Bundesrepublik Deutschland gestattet und ein Verfahren zur Bestimmung des zuständigen Mitgliedsstaats für das Asylverfahren eingeleitet wird.</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 xml:space="preserve">Mit freundlichen Grüßen, </w:t>
      </w: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p>
    <w:p>
      <w:pPr>
        <w:jc w:val="both"/>
        <w:rPr>
          <w:rFonts w:ascii="Times New Roman" w:hAnsi="Times New Roman" w:cs="Times New Roman"/>
        </w:rPr>
      </w:pPr>
      <w:r>
        <w:rPr>
          <w:rFonts w:ascii="Times New Roman" w:hAnsi="Times New Roman" w:cs="Times New Roman"/>
        </w:rPr>
        <w:t>[</w:t>
      </w:r>
      <w:r>
        <w:rPr>
          <w:rFonts w:ascii="Times New Roman" w:hAnsi="Times New Roman" w:cs="Times New Roman"/>
          <w:highlight w:val="lightGray"/>
        </w:rPr>
        <w:t>Name, Unterschrift</w:t>
      </w:r>
      <w:r>
        <w:rPr>
          <w:rFonts w:ascii="Times New Roman" w:hAnsi="Times New Roman" w:cs="Times New Roman"/>
        </w:rPr>
        <w:t>]</w:t>
      </w:r>
    </w:p>
    <w:p>
      <w:bookmarkStart w:id="0" w:name="_GoBack"/>
      <w:bookmarkEnd w:id="0"/>
    </w:p>
    <w:sectPr>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5D307F-728D-466D-B2C6-96548BBE3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pacing w:after="0" w:line="240" w:lineRule="auto"/>
    </w:pPr>
    <w:rPr>
      <w:rFonts w:eastAsiaTheme="minorEastAsia"/>
      <w:sz w:val="24"/>
      <w:szCs w:val="24"/>
      <w:lang w:eastAsia="zh-C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pPr>
      <w:spacing w:after="0" w:line="240" w:lineRule="auto"/>
    </w:pPr>
    <w:rPr>
      <w:rFonts w:eastAsiaTheme="minorEastAsia"/>
      <w:sz w:val="24"/>
      <w:szCs w:val="24"/>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lto.de/persistent/a_id/57342" TargetMode="External"/><Relationship Id="rId5" Type="http://schemas.openxmlformats.org/officeDocument/2006/relationships/hyperlink" Target="https://verfassungsblog.de/zuruckweisungen-gericht-migration-asyl/" TargetMode="External"/><Relationship Id="rId4" Type="http://schemas.openxmlformats.org/officeDocument/2006/relationships/hyperlink" Target="https://verfassungsblog.de/zuruckweisung-grenze-kontrolle-dobrind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924</Words>
  <Characters>5824</Characters>
  <Application>Microsoft Office Word</Application>
  <DocSecurity>0</DocSecurity>
  <Lines>48</Lines>
  <Paragraphs>13</Paragraphs>
  <ScaleCrop>false</ScaleCrop>
  <Company/>
  <LinksUpToDate>false</LinksUpToDate>
  <CharactersWithSpaces>6735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dc:creator>
  <cp:keywords/>
  <dc:description/>
  <cp:lastModifiedBy>as</cp:lastModifiedBy>
  <cp:revision>1</cp:revision>
  <dcterms:created xsi:type="dcterms:W3CDTF">2025-06-05T20:11:00Z</dcterms:created>
  <dcterms:modified xsi:type="dcterms:W3CDTF">2025-06-05T20:12:00Z</dcterms:modified>
</cp:coreProperties>
</file>