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FC" w:rsidRDefault="00042A4B" w:rsidP="004C1FFC">
      <w:pPr>
        <w:pStyle w:val="Listenabsatz"/>
        <w:ind w:left="0"/>
        <w:jc w:val="both"/>
      </w:pPr>
      <w:r>
        <w:rPr>
          <w:noProof/>
          <w:lang w:eastAsia="de-DE"/>
        </w:rPr>
        <w:drawing>
          <wp:anchor distT="0" distB="0" distL="114300" distR="114300" simplePos="0" relativeHeight="251659264" behindDoc="0" locked="0" layoutInCell="1" allowOverlap="1" wp14:anchorId="6B2572E9" wp14:editId="16B64EEE">
            <wp:simplePos x="0" y="0"/>
            <wp:positionH relativeFrom="column">
              <wp:posOffset>195580</wp:posOffset>
            </wp:positionH>
            <wp:positionV relativeFrom="paragraph">
              <wp:posOffset>249555</wp:posOffset>
            </wp:positionV>
            <wp:extent cx="5705475" cy="1266825"/>
            <wp:effectExtent l="0" t="0" r="9525" b="9525"/>
            <wp:wrapTopAndBottom/>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8" cstate="print">
                      <a:lum bright="2000"/>
                    </a:blip>
                    <a:srcRect/>
                    <a:stretch>
                      <a:fillRect/>
                    </a:stretch>
                  </pic:blipFill>
                  <pic:spPr bwMode="auto">
                    <a:xfrm>
                      <a:off x="0" y="0"/>
                      <a:ext cx="5705475" cy="1266825"/>
                    </a:xfrm>
                    <a:prstGeom prst="rect">
                      <a:avLst/>
                    </a:prstGeom>
                    <a:noFill/>
                  </pic:spPr>
                </pic:pic>
              </a:graphicData>
            </a:graphic>
            <wp14:sizeRelH relativeFrom="margin">
              <wp14:pctWidth>0</wp14:pctWidth>
            </wp14:sizeRelH>
            <wp14:sizeRelV relativeFrom="margin">
              <wp14:pctHeight>0</wp14:pctHeight>
            </wp14:sizeRelV>
          </wp:anchor>
        </w:drawing>
      </w:r>
    </w:p>
    <w:p w:rsidR="004C1FFC" w:rsidRDefault="004C1FFC" w:rsidP="004C1FFC">
      <w:pPr>
        <w:pStyle w:val="Listenabsatz"/>
        <w:ind w:left="0"/>
        <w:jc w:val="both"/>
      </w:pPr>
    </w:p>
    <w:p w:rsidR="004C1FFC" w:rsidRDefault="004C1FFC" w:rsidP="004C1FFC">
      <w:pPr>
        <w:pStyle w:val="Listenabsatz"/>
        <w:ind w:left="0"/>
        <w:jc w:val="both"/>
      </w:pPr>
    </w:p>
    <w:p w:rsidR="004C1FFC" w:rsidRDefault="004C1FFC" w:rsidP="004C1FFC">
      <w:pPr>
        <w:pStyle w:val="Listenabsatz"/>
        <w:ind w:left="0"/>
        <w:jc w:val="both"/>
      </w:pPr>
    </w:p>
    <w:p w:rsidR="004C1FFC" w:rsidRDefault="004C1FFC" w:rsidP="004C1FFC">
      <w:pPr>
        <w:pStyle w:val="Listenabsatz"/>
        <w:ind w:left="0"/>
      </w:pPr>
      <w:bookmarkStart w:id="0" w:name="_GoBack"/>
      <w:bookmarkEnd w:id="0"/>
    </w:p>
    <w:p w:rsidR="004C1FFC" w:rsidRDefault="004C1FFC" w:rsidP="004C1FFC">
      <w:pPr>
        <w:pStyle w:val="Listenabsatz"/>
        <w:ind w:left="0"/>
      </w:pPr>
    </w:p>
    <w:p w:rsidR="004C1FFC" w:rsidRDefault="004C1FFC" w:rsidP="004C1FFC">
      <w:pPr>
        <w:pStyle w:val="Listenabsatz"/>
        <w:ind w:left="0"/>
      </w:pPr>
    </w:p>
    <w:p w:rsidR="004C1FFC" w:rsidRDefault="004C1FFC" w:rsidP="004C1FFC">
      <w:pPr>
        <w:pStyle w:val="Listenabsatz"/>
        <w:ind w:left="0"/>
      </w:pPr>
    </w:p>
    <w:p w:rsidR="00A85385" w:rsidRDefault="00A85385" w:rsidP="004C1FFC">
      <w:pPr>
        <w:pStyle w:val="Listenabsatz"/>
        <w:ind w:left="0"/>
      </w:pPr>
    </w:p>
    <w:p w:rsidR="00A85385" w:rsidRDefault="00A85385" w:rsidP="004C1FFC">
      <w:pPr>
        <w:pStyle w:val="Listenabsatz"/>
        <w:ind w:left="0"/>
      </w:pPr>
    </w:p>
    <w:p w:rsidR="004C1FFC" w:rsidRDefault="004C1FFC" w:rsidP="004C1FFC">
      <w:pPr>
        <w:pStyle w:val="Listenabsatz"/>
        <w:ind w:left="0"/>
      </w:pP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outlineLvl w:val="0"/>
        <w:rPr>
          <w:rFonts w:ascii="Bookman Old Style" w:hAnsi="Bookman Old Style"/>
          <w:sz w:val="32"/>
          <w:szCs w:val="32"/>
        </w:rPr>
      </w:pPr>
      <w:r>
        <w:rPr>
          <w:rFonts w:ascii="Bookman Old Style" w:hAnsi="Bookman Old Style"/>
          <w:sz w:val="32"/>
          <w:szCs w:val="32"/>
        </w:rPr>
        <w:t xml:space="preserve">                         </w:t>
      </w: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outlineLvl w:val="0"/>
        <w:rPr>
          <w:rFonts w:ascii="Bookman Old Style" w:hAnsi="Bookman Old Style"/>
          <w:sz w:val="32"/>
          <w:szCs w:val="32"/>
        </w:rPr>
      </w:pPr>
      <w:r>
        <w:rPr>
          <w:rFonts w:ascii="Bookman Old Style" w:hAnsi="Bookman Old Style"/>
          <w:sz w:val="32"/>
          <w:szCs w:val="32"/>
        </w:rPr>
        <w:t xml:space="preserve">                                  Stefan Geiß</w:t>
      </w: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outlineLvl w:val="0"/>
        <w:rPr>
          <w:rFonts w:ascii="Bookman Old Style" w:hAnsi="Bookman Old Style"/>
          <w:sz w:val="32"/>
          <w:szCs w:val="32"/>
        </w:rPr>
      </w:pP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outlineLvl w:val="0"/>
        <w:rPr>
          <w:rFonts w:ascii="Bookman Old Style" w:hAnsi="Bookman Old Style"/>
          <w:sz w:val="40"/>
          <w:szCs w:val="40"/>
        </w:rPr>
      </w:pPr>
      <w:r>
        <w:rPr>
          <w:rFonts w:ascii="Bookman Old Style" w:hAnsi="Bookman Old Style"/>
          <w:sz w:val="40"/>
          <w:szCs w:val="40"/>
        </w:rPr>
        <w:t xml:space="preserve">                  Kommunale Aufgaben</w:t>
      </w: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rPr>
          <w:rFonts w:ascii="Bookman Old Style" w:hAnsi="Bookman Old Style"/>
          <w:sz w:val="32"/>
          <w:szCs w:val="32"/>
        </w:rPr>
      </w:pP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rPr>
          <w:rFonts w:ascii="Bookman Old Style" w:hAnsi="Bookman Old Style"/>
          <w:sz w:val="32"/>
          <w:szCs w:val="32"/>
        </w:rPr>
      </w:pP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outlineLvl w:val="0"/>
        <w:rPr>
          <w:rFonts w:ascii="Bookman Old Style" w:hAnsi="Bookman Old Style"/>
          <w:sz w:val="28"/>
          <w:szCs w:val="28"/>
        </w:rPr>
      </w:pPr>
      <w:r>
        <w:rPr>
          <w:rFonts w:ascii="Bookman Old Style" w:hAnsi="Bookman Old Style"/>
          <w:sz w:val="28"/>
          <w:szCs w:val="28"/>
        </w:rPr>
        <w:t xml:space="preserve">    Hinweise für die Sachbearbeitung in der Leistungsabteilung </w:t>
      </w: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outlineLvl w:val="0"/>
        <w:rPr>
          <w:rFonts w:ascii="Bookman Old Style" w:hAnsi="Bookman Old Style"/>
          <w:sz w:val="28"/>
          <w:szCs w:val="28"/>
        </w:rPr>
      </w:pPr>
      <w:r>
        <w:rPr>
          <w:rFonts w:ascii="Bookman Old Style" w:hAnsi="Bookman Old Style"/>
          <w:sz w:val="28"/>
          <w:szCs w:val="28"/>
        </w:rPr>
        <w:t xml:space="preserve">                             des Jobcenter Passau Land</w:t>
      </w:r>
    </w:p>
    <w:p w:rsidR="004C1FFC" w:rsidRDefault="004C1FFC" w:rsidP="004C1FFC">
      <w:pPr>
        <w:pStyle w:val="Listenabsatz"/>
        <w:pBdr>
          <w:top w:val="single" w:sz="4" w:space="1" w:color="auto"/>
          <w:left w:val="single" w:sz="4" w:space="4" w:color="auto"/>
          <w:bottom w:val="single" w:sz="4" w:space="1" w:color="auto"/>
          <w:right w:val="single" w:sz="4" w:space="4" w:color="auto"/>
        </w:pBdr>
        <w:shd w:val="clear" w:color="auto" w:fill="FFFFCC"/>
        <w:ind w:left="0"/>
        <w:rPr>
          <w:rFonts w:ascii="Bookman Old Style" w:hAnsi="Bookman Old Style"/>
          <w:sz w:val="32"/>
          <w:szCs w:val="32"/>
        </w:rPr>
      </w:pPr>
    </w:p>
    <w:p w:rsidR="004C1FFC" w:rsidRPr="00061170" w:rsidRDefault="004C1FFC" w:rsidP="00061170">
      <w:pPr>
        <w:pStyle w:val="Listenabsatz"/>
        <w:numPr>
          <w:ilvl w:val="0"/>
          <w:numId w:val="33"/>
        </w:numPr>
        <w:pBdr>
          <w:top w:val="single" w:sz="4" w:space="1" w:color="auto"/>
          <w:left w:val="single" w:sz="4" w:space="21" w:color="auto"/>
          <w:bottom w:val="single" w:sz="4" w:space="1" w:color="auto"/>
          <w:right w:val="single" w:sz="4" w:space="4" w:color="auto"/>
        </w:pBdr>
        <w:shd w:val="clear" w:color="auto" w:fill="FFFFCC"/>
        <w:rPr>
          <w:rFonts w:ascii="Bookman Old Style" w:hAnsi="Bookman Old Style"/>
        </w:rPr>
      </w:pPr>
      <w:r w:rsidRPr="00061170">
        <w:rPr>
          <w:rFonts w:ascii="Bookman Old Style" w:hAnsi="Bookman Old Style"/>
        </w:rPr>
        <w:t xml:space="preserve">Auflage                                                                Rechtstand:  </w:t>
      </w:r>
      <w:r w:rsidR="00CE17AD">
        <w:rPr>
          <w:rFonts w:ascii="Bookman Old Style" w:hAnsi="Bookman Old Style"/>
        </w:rPr>
        <w:t>01.08.2016</w:t>
      </w:r>
    </w:p>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 w:rsidR="004C1FFC" w:rsidRDefault="004C1FFC" w:rsidP="004C1FFC">
      <w:pPr>
        <w:pStyle w:val="Listenabsatz"/>
        <w:ind w:left="0"/>
        <w:contextualSpacing w:val="0"/>
      </w:pPr>
    </w:p>
    <w:p w:rsidR="00E179CB" w:rsidRDefault="00E179CB" w:rsidP="003367A6"/>
    <w:p w:rsidR="00E179CB" w:rsidRDefault="00E179CB" w:rsidP="003367A6"/>
    <w:p w:rsidR="00E179CB" w:rsidRDefault="00E179CB" w:rsidP="003367A6"/>
    <w:p w:rsidR="00E179CB" w:rsidRDefault="00E179CB" w:rsidP="003367A6"/>
    <w:p w:rsidR="00E179CB" w:rsidRDefault="00E179CB" w:rsidP="003367A6"/>
    <w:p w:rsidR="00E179CB" w:rsidRDefault="00E179CB" w:rsidP="003367A6"/>
    <w:p w:rsidR="00E179CB" w:rsidRDefault="00E179CB" w:rsidP="003367A6"/>
    <w:p w:rsidR="00A348E1" w:rsidRDefault="00A348E1" w:rsidP="003367A6"/>
    <w:p w:rsidR="00055E1B" w:rsidRDefault="00055E1B" w:rsidP="003367A6"/>
    <w:p w:rsidR="00055E1B" w:rsidRPr="00A348E1" w:rsidRDefault="00055E1B" w:rsidP="003367A6">
      <w:pPr>
        <w:rPr>
          <w:sz w:val="28"/>
          <w:szCs w:val="28"/>
        </w:rPr>
      </w:pPr>
      <w:r w:rsidRPr="00A348E1">
        <w:rPr>
          <w:sz w:val="28"/>
          <w:szCs w:val="28"/>
        </w:rPr>
        <w:t>Vorwort:</w:t>
      </w:r>
    </w:p>
    <w:p w:rsidR="00055E1B" w:rsidRDefault="00055E1B" w:rsidP="003367A6"/>
    <w:p w:rsidR="003367A6" w:rsidRDefault="00D820E1" w:rsidP="00D820E1">
      <w:pPr>
        <w:jc w:val="both"/>
      </w:pPr>
      <w:r>
        <w:t>Die Leistungsträgerschaft des Landkreises Passau als kommunaler Träger erstreckt sich auf die Leistungen für Unterkunft und Heizung nach § 22 SGB II,</w:t>
      </w:r>
      <w:r w:rsidR="00961EAB">
        <w:t xml:space="preserve"> </w:t>
      </w:r>
      <w:r>
        <w:t>die Leistungen für Erstausstattung für die Wohnung einschließlich Haushaltsgeräte,</w:t>
      </w:r>
      <w:r w:rsidR="00C01760">
        <w:t xml:space="preserve"> sowie</w:t>
      </w:r>
      <w:r>
        <w:t xml:space="preserve"> Erstausstattung für Bekleidung einschließlich Schwangerschaft und Geburt nach § 24 Abs. 3 Satz 1 Nr. 1 und 2 SGB II und auf </w:t>
      </w:r>
      <w:r w:rsidR="00C01760">
        <w:t>die Leistungen für</w:t>
      </w:r>
      <w:r>
        <w:t xml:space="preserve"> Bildung und Teilhabe nach § 28 SGB II.  </w:t>
      </w:r>
    </w:p>
    <w:p w:rsidR="00055E1B" w:rsidRDefault="00055E1B" w:rsidP="00D820E1">
      <w:pPr>
        <w:jc w:val="both"/>
      </w:pPr>
    </w:p>
    <w:p w:rsidR="00055E1B" w:rsidRDefault="00D820E1" w:rsidP="00D820E1">
      <w:pPr>
        <w:jc w:val="both"/>
      </w:pPr>
      <w:r>
        <w:t>Nachfolgende</w:t>
      </w:r>
      <w:r w:rsidR="00C01760">
        <w:t xml:space="preserve"> verbindliche</w:t>
      </w:r>
      <w:r>
        <w:t xml:space="preserve"> Hinweise sollen einen Überblick über die gesetzlichen Grundlagen, die einschlägige Rechtsprechung</w:t>
      </w:r>
      <w:r w:rsidR="00055E1B">
        <w:t xml:space="preserve"> und die derzeitige Verwaltungspraxis</w:t>
      </w:r>
      <w:r>
        <w:t xml:space="preserve"> geben und so die Sachbearbeitung erleichtern</w:t>
      </w:r>
      <w:r w:rsidR="00055E1B">
        <w:t xml:space="preserve">.  </w:t>
      </w:r>
    </w:p>
    <w:p w:rsidR="00055E1B" w:rsidRDefault="00055E1B" w:rsidP="00D820E1">
      <w:pPr>
        <w:jc w:val="both"/>
      </w:pPr>
    </w:p>
    <w:p w:rsidR="00055E1B" w:rsidRDefault="00560BB8" w:rsidP="00D820E1">
      <w:pPr>
        <w:jc w:val="both"/>
        <w:rPr>
          <w:color w:val="00B050"/>
        </w:rPr>
      </w:pPr>
      <w:r w:rsidRPr="00061170">
        <w:rPr>
          <w:color w:val="00B050"/>
        </w:rPr>
        <w:t xml:space="preserve">Änderungen gegenüber der </w:t>
      </w:r>
      <w:r w:rsidR="00061170" w:rsidRPr="00061170">
        <w:rPr>
          <w:color w:val="00B050"/>
        </w:rPr>
        <w:t>8</w:t>
      </w:r>
      <w:r w:rsidRPr="00061170">
        <w:rPr>
          <w:color w:val="00B050"/>
        </w:rPr>
        <w:t xml:space="preserve">. Auflage sind in </w:t>
      </w:r>
      <w:r w:rsidR="00061170">
        <w:rPr>
          <w:color w:val="00B050"/>
        </w:rPr>
        <w:t>grüner</w:t>
      </w:r>
      <w:r w:rsidRPr="00061170">
        <w:rPr>
          <w:color w:val="00B050"/>
        </w:rPr>
        <w:t xml:space="preserve"> Schrift gehalten.</w:t>
      </w:r>
    </w:p>
    <w:p w:rsidR="005C6E12" w:rsidRDefault="005C6E12" w:rsidP="00D820E1">
      <w:pPr>
        <w:jc w:val="both"/>
        <w:rPr>
          <w:color w:val="00B050"/>
        </w:rPr>
      </w:pPr>
    </w:p>
    <w:p w:rsidR="00522783" w:rsidRDefault="005C6E12" w:rsidP="00D820E1">
      <w:pPr>
        <w:jc w:val="both"/>
        <w:rPr>
          <w:color w:val="00B050"/>
        </w:rPr>
      </w:pPr>
      <w:r>
        <w:rPr>
          <w:color w:val="00B050"/>
        </w:rPr>
        <w:t xml:space="preserve">Mit der vorliegenden 9. Aktualisierung, erreichen die Hinweise den Rechtsstand August 2016. Infolge des Inkrafttretens des 9. Änderungsgesetzes zum SGB II und neuer Hinweise des StMAS </w:t>
      </w:r>
      <w:r w:rsidR="00522783">
        <w:rPr>
          <w:color w:val="00B050"/>
        </w:rPr>
        <w:t>sind</w:t>
      </w:r>
      <w:r>
        <w:rPr>
          <w:color w:val="00B050"/>
        </w:rPr>
        <w:t xml:space="preserve"> teilweise erhebliche </w:t>
      </w:r>
      <w:r w:rsidR="00522783">
        <w:rPr>
          <w:color w:val="00B050"/>
        </w:rPr>
        <w:t>Änderungen eingetreten</w:t>
      </w:r>
      <w:r>
        <w:rPr>
          <w:color w:val="00B050"/>
        </w:rPr>
        <w:t>.</w:t>
      </w:r>
    </w:p>
    <w:p w:rsidR="005C6E12" w:rsidRPr="00061170" w:rsidRDefault="00522783" w:rsidP="00D820E1">
      <w:pPr>
        <w:jc w:val="both"/>
        <w:rPr>
          <w:color w:val="00B050"/>
        </w:rPr>
      </w:pPr>
      <w:r>
        <w:rPr>
          <w:color w:val="00B050"/>
        </w:rPr>
        <w:t xml:space="preserve">So ist z.B. </w:t>
      </w:r>
      <w:r w:rsidR="0005764A">
        <w:rPr>
          <w:color w:val="00B050"/>
        </w:rPr>
        <w:t xml:space="preserve">die Zuständigkeit bei der Zusicherung bei Umzügen nach § 22 Abs. 2 SGB II neu geregelt und </w:t>
      </w:r>
      <w:r>
        <w:rPr>
          <w:color w:val="00B050"/>
        </w:rPr>
        <w:t>der</w:t>
      </w:r>
      <w:r w:rsidR="002D06B2">
        <w:rPr>
          <w:color w:val="00B050"/>
        </w:rPr>
        <w:t xml:space="preserve"> Zugang zu den Bildungs- und Teilhabeleistungen für Schüler und Schülerinnen mit BAB oder BAföG Bezug weitgehend geöffnet. Der e</w:t>
      </w:r>
      <w:r>
        <w:rPr>
          <w:color w:val="00B050"/>
        </w:rPr>
        <w:t xml:space="preserve">hemalige Zuschuss zu den ungedeckten Kosten der Unterkunft nach § 27 Abs. 3 SGB II </w:t>
      </w:r>
      <w:r w:rsidR="002D06B2">
        <w:rPr>
          <w:color w:val="00B050"/>
        </w:rPr>
        <w:t xml:space="preserve">ist </w:t>
      </w:r>
      <w:r>
        <w:rPr>
          <w:color w:val="00B050"/>
        </w:rPr>
        <w:t xml:space="preserve">zum 01.08.2016 vollständig weggefallen. </w:t>
      </w:r>
      <w:r w:rsidR="005C6E12">
        <w:rPr>
          <w:color w:val="00B050"/>
        </w:rPr>
        <w:t xml:space="preserve"> </w:t>
      </w:r>
    </w:p>
    <w:p w:rsidR="00055E1B" w:rsidRPr="00F23F1A" w:rsidRDefault="00055E1B" w:rsidP="00D820E1">
      <w:pPr>
        <w:jc w:val="both"/>
        <w:rPr>
          <w:color w:val="31849B" w:themeColor="accent5" w:themeShade="BF"/>
        </w:rPr>
      </w:pPr>
    </w:p>
    <w:p w:rsidR="00055E1B" w:rsidRDefault="00055E1B" w:rsidP="00D820E1">
      <w:pPr>
        <w:jc w:val="both"/>
      </w:pPr>
    </w:p>
    <w:p w:rsidR="00055E1B" w:rsidRDefault="00055E1B" w:rsidP="00D820E1">
      <w:pPr>
        <w:jc w:val="both"/>
      </w:pPr>
    </w:p>
    <w:p w:rsidR="00055E1B" w:rsidRDefault="00055E1B" w:rsidP="00D820E1">
      <w:pPr>
        <w:jc w:val="both"/>
      </w:pPr>
    </w:p>
    <w:p w:rsidR="00055E1B" w:rsidRDefault="0085534D" w:rsidP="00D820E1">
      <w:pPr>
        <w:jc w:val="both"/>
      </w:pPr>
      <w:r>
        <w:t>erstellt von:</w:t>
      </w:r>
    </w:p>
    <w:p w:rsidR="0085534D" w:rsidRDefault="0085534D" w:rsidP="0085534D">
      <w:pPr>
        <w:spacing w:before="100" w:beforeAutospacing="1" w:after="100" w:afterAutospacing="1"/>
        <w:rPr>
          <w:rFonts w:ascii="Times New Roman" w:hAnsi="Times New Roman"/>
          <w:noProof/>
          <w:sz w:val="24"/>
          <w:szCs w:val="24"/>
          <w:lang w:eastAsia="de-DE"/>
        </w:rPr>
      </w:pPr>
      <w:r>
        <w:rPr>
          <w:rFonts w:cs="Arial"/>
          <w:b/>
          <w:bCs/>
          <w:noProof/>
          <w:sz w:val="20"/>
          <w:szCs w:val="20"/>
          <w:lang w:eastAsia="de-DE"/>
        </w:rPr>
        <w:t>Stefan Geiß</w:t>
      </w:r>
      <w:r>
        <w:rPr>
          <w:rFonts w:ascii="Times New Roman" w:hAnsi="Times New Roman"/>
          <w:noProof/>
          <w:sz w:val="24"/>
          <w:szCs w:val="24"/>
          <w:lang w:eastAsia="de-DE"/>
        </w:rPr>
        <w:t xml:space="preserve"> </w:t>
      </w:r>
      <w:r>
        <w:rPr>
          <w:rFonts w:ascii="Times New Roman" w:hAnsi="Times New Roman"/>
          <w:noProof/>
          <w:sz w:val="24"/>
          <w:szCs w:val="24"/>
          <w:lang w:eastAsia="de-DE"/>
        </w:rPr>
        <w:br/>
      </w:r>
      <w:r>
        <w:rPr>
          <w:rFonts w:cs="Arial"/>
          <w:noProof/>
          <w:sz w:val="20"/>
          <w:szCs w:val="20"/>
          <w:lang w:eastAsia="de-DE"/>
        </w:rPr>
        <w:t xml:space="preserve">Teamleiter </w:t>
      </w:r>
      <w:r>
        <w:rPr>
          <w:rFonts w:ascii="Times New Roman" w:hAnsi="Times New Roman"/>
          <w:noProof/>
          <w:sz w:val="24"/>
          <w:szCs w:val="24"/>
          <w:lang w:eastAsia="de-DE"/>
        </w:rPr>
        <w:br/>
      </w:r>
      <w:r>
        <w:rPr>
          <w:rFonts w:cs="Arial"/>
          <w:noProof/>
          <w:sz w:val="20"/>
          <w:szCs w:val="20"/>
          <w:lang w:eastAsia="de-DE"/>
        </w:rPr>
        <w:t>Leistungsgewährung Bereich SGB II</w:t>
      </w:r>
      <w:r>
        <w:rPr>
          <w:rFonts w:ascii="Times New Roman" w:hAnsi="Times New Roman"/>
          <w:noProof/>
          <w:sz w:val="24"/>
          <w:szCs w:val="24"/>
          <w:lang w:eastAsia="de-DE"/>
        </w:rPr>
        <w:t xml:space="preserve"> </w:t>
      </w:r>
      <w:r>
        <w:rPr>
          <w:rFonts w:ascii="Times New Roman" w:hAnsi="Times New Roman"/>
          <w:noProof/>
          <w:sz w:val="24"/>
          <w:szCs w:val="24"/>
          <w:lang w:eastAsia="de-DE"/>
        </w:rPr>
        <w:br/>
      </w:r>
      <w:r>
        <w:rPr>
          <w:rFonts w:cs="Arial"/>
          <w:noProof/>
          <w:sz w:val="20"/>
          <w:szCs w:val="20"/>
          <w:lang w:eastAsia="de-DE"/>
        </w:rPr>
        <w:t>Telefon: 0851 85176-11</w:t>
      </w:r>
      <w:r>
        <w:rPr>
          <w:rFonts w:ascii="Times New Roman" w:hAnsi="Times New Roman"/>
          <w:noProof/>
          <w:sz w:val="24"/>
          <w:szCs w:val="24"/>
          <w:lang w:eastAsia="de-DE"/>
        </w:rPr>
        <w:t xml:space="preserve"> </w:t>
      </w:r>
      <w:r>
        <w:rPr>
          <w:rFonts w:ascii="Times New Roman" w:hAnsi="Times New Roman"/>
          <w:noProof/>
          <w:sz w:val="24"/>
          <w:szCs w:val="24"/>
          <w:lang w:eastAsia="de-DE"/>
        </w:rPr>
        <w:br/>
      </w:r>
      <w:r>
        <w:rPr>
          <w:rFonts w:cs="Arial"/>
          <w:noProof/>
          <w:sz w:val="20"/>
          <w:szCs w:val="20"/>
          <w:lang w:eastAsia="de-DE"/>
        </w:rPr>
        <w:t>Telefax: 0851/8517699</w:t>
      </w:r>
      <w:r>
        <w:rPr>
          <w:rFonts w:ascii="Times New Roman" w:hAnsi="Times New Roman"/>
          <w:noProof/>
          <w:sz w:val="24"/>
          <w:szCs w:val="24"/>
          <w:lang w:eastAsia="de-DE"/>
        </w:rPr>
        <w:t xml:space="preserve"> </w:t>
      </w:r>
      <w:r>
        <w:rPr>
          <w:rFonts w:ascii="Times New Roman" w:hAnsi="Times New Roman"/>
          <w:noProof/>
          <w:sz w:val="24"/>
          <w:szCs w:val="24"/>
          <w:lang w:eastAsia="de-DE"/>
        </w:rPr>
        <w:br/>
      </w:r>
      <w:r>
        <w:rPr>
          <w:rFonts w:cs="Arial"/>
          <w:noProof/>
          <w:sz w:val="20"/>
          <w:szCs w:val="20"/>
          <w:lang w:eastAsia="de-DE"/>
        </w:rPr>
        <w:t xml:space="preserve">E-Mail: </w:t>
      </w:r>
      <w:hyperlink r:id="rId9" w:history="1">
        <w:r>
          <w:rPr>
            <w:rStyle w:val="Hyperlink"/>
            <w:rFonts w:cs="Arial"/>
            <w:noProof/>
            <w:sz w:val="20"/>
            <w:szCs w:val="20"/>
            <w:lang w:eastAsia="de-DE"/>
          </w:rPr>
          <w:t>stefan.geiss@jobcenter-ge.de</w:t>
        </w:r>
      </w:hyperlink>
      <w:r>
        <w:rPr>
          <w:rFonts w:ascii="Times New Roman" w:hAnsi="Times New Roman"/>
          <w:noProof/>
          <w:sz w:val="24"/>
          <w:szCs w:val="24"/>
          <w:lang w:eastAsia="de-DE"/>
        </w:rPr>
        <w:t xml:space="preserve"> </w:t>
      </w:r>
      <w:r>
        <w:rPr>
          <w:rFonts w:ascii="Times New Roman" w:hAnsi="Times New Roman"/>
          <w:noProof/>
          <w:sz w:val="24"/>
          <w:szCs w:val="24"/>
          <w:lang w:eastAsia="de-DE"/>
        </w:rPr>
        <w:br/>
      </w:r>
      <w:r>
        <w:rPr>
          <w:rFonts w:cs="Arial"/>
          <w:noProof/>
          <w:sz w:val="20"/>
          <w:szCs w:val="20"/>
          <w:lang w:eastAsia="de-DE"/>
        </w:rPr>
        <w:t xml:space="preserve">Internet: </w:t>
      </w:r>
      <w:hyperlink r:id="rId10" w:history="1">
        <w:r>
          <w:rPr>
            <w:rStyle w:val="Hyperlink"/>
            <w:rFonts w:cs="Arial"/>
            <w:noProof/>
            <w:sz w:val="20"/>
            <w:szCs w:val="20"/>
            <w:lang w:eastAsia="de-DE"/>
          </w:rPr>
          <w:t>www.arbeitsagentur.de</w:t>
        </w:r>
      </w:hyperlink>
      <w:r>
        <w:rPr>
          <w:rFonts w:ascii="Times New Roman" w:hAnsi="Times New Roman"/>
          <w:noProof/>
          <w:sz w:val="24"/>
          <w:szCs w:val="24"/>
          <w:lang w:eastAsia="de-DE"/>
        </w:rPr>
        <w:t xml:space="preserve"> </w:t>
      </w:r>
    </w:p>
    <w:p w:rsidR="0085534D" w:rsidRDefault="0085534D" w:rsidP="0085534D">
      <w:pPr>
        <w:spacing w:before="100" w:beforeAutospacing="1" w:after="100" w:afterAutospacing="1"/>
        <w:rPr>
          <w:rFonts w:ascii="Times New Roman" w:hAnsi="Times New Roman"/>
          <w:noProof/>
          <w:sz w:val="24"/>
          <w:szCs w:val="24"/>
          <w:lang w:eastAsia="de-DE"/>
        </w:rPr>
      </w:pPr>
      <w:r>
        <w:rPr>
          <w:rFonts w:cs="Arial"/>
          <w:b/>
          <w:bCs/>
          <w:noProof/>
          <w:sz w:val="20"/>
          <w:szCs w:val="20"/>
          <w:lang w:eastAsia="de-DE"/>
        </w:rPr>
        <w:t>jobcenter Passau Land</w:t>
      </w:r>
      <w:r>
        <w:rPr>
          <w:rFonts w:ascii="Times New Roman" w:hAnsi="Times New Roman"/>
          <w:noProof/>
          <w:sz w:val="24"/>
          <w:szCs w:val="24"/>
          <w:lang w:eastAsia="de-DE"/>
        </w:rPr>
        <w:t xml:space="preserve"> </w:t>
      </w:r>
      <w:r>
        <w:rPr>
          <w:rFonts w:ascii="Times New Roman" w:hAnsi="Times New Roman"/>
          <w:noProof/>
          <w:sz w:val="24"/>
          <w:szCs w:val="24"/>
          <w:lang w:eastAsia="de-DE"/>
        </w:rPr>
        <w:br/>
      </w:r>
      <w:r w:rsidR="00AC140C" w:rsidRPr="00AC140C">
        <w:rPr>
          <w:rFonts w:cs="Arial"/>
          <w:noProof/>
          <w:sz w:val="20"/>
          <w:szCs w:val="20"/>
          <w:lang w:eastAsia="de-DE"/>
        </w:rPr>
        <w:t>Dr.-Hans-Kapfinger-Str. 14c</w:t>
      </w:r>
      <w:r w:rsidRPr="00AC140C">
        <w:rPr>
          <w:rFonts w:cs="Arial"/>
          <w:noProof/>
          <w:sz w:val="20"/>
          <w:szCs w:val="20"/>
          <w:lang w:eastAsia="de-DE"/>
        </w:rPr>
        <w:t xml:space="preserve"> </w:t>
      </w:r>
      <w:r w:rsidRPr="00AC140C">
        <w:rPr>
          <w:rFonts w:cs="Arial"/>
          <w:noProof/>
          <w:sz w:val="20"/>
          <w:szCs w:val="20"/>
          <w:lang w:eastAsia="de-DE"/>
        </w:rPr>
        <w:br/>
      </w:r>
      <w:r>
        <w:rPr>
          <w:rFonts w:cs="Arial"/>
          <w:noProof/>
          <w:sz w:val="20"/>
          <w:szCs w:val="20"/>
          <w:lang w:eastAsia="de-DE"/>
        </w:rPr>
        <w:t>94032 Passau</w:t>
      </w:r>
      <w:r>
        <w:rPr>
          <w:rFonts w:ascii="Times New Roman" w:hAnsi="Times New Roman"/>
          <w:noProof/>
          <w:sz w:val="24"/>
          <w:szCs w:val="24"/>
          <w:lang w:eastAsia="de-DE"/>
        </w:rPr>
        <w:t xml:space="preserve"> </w:t>
      </w:r>
    </w:p>
    <w:p w:rsidR="00E179CB" w:rsidRDefault="00E179CB" w:rsidP="0085534D">
      <w:pPr>
        <w:spacing w:before="100" w:beforeAutospacing="1" w:after="100" w:afterAutospacing="1"/>
        <w:rPr>
          <w:rFonts w:ascii="Times New Roman" w:hAnsi="Times New Roman"/>
          <w:noProof/>
          <w:sz w:val="24"/>
          <w:szCs w:val="24"/>
          <w:lang w:eastAsia="de-DE"/>
        </w:rPr>
      </w:pPr>
    </w:p>
    <w:p w:rsidR="00A348E1" w:rsidRDefault="00A348E1" w:rsidP="0085534D">
      <w:pPr>
        <w:spacing w:before="100" w:beforeAutospacing="1" w:after="100" w:afterAutospacing="1"/>
        <w:rPr>
          <w:rFonts w:ascii="Times New Roman" w:hAnsi="Times New Roman"/>
          <w:noProof/>
          <w:sz w:val="24"/>
          <w:szCs w:val="24"/>
          <w:lang w:eastAsia="de-DE"/>
        </w:rPr>
      </w:pPr>
    </w:p>
    <w:p w:rsidR="00A348E1" w:rsidRDefault="00A348E1" w:rsidP="0085534D">
      <w:pPr>
        <w:spacing w:before="100" w:beforeAutospacing="1" w:after="100" w:afterAutospacing="1"/>
        <w:rPr>
          <w:rFonts w:ascii="Times New Roman" w:hAnsi="Times New Roman"/>
          <w:noProof/>
          <w:sz w:val="24"/>
          <w:szCs w:val="24"/>
          <w:lang w:eastAsia="de-DE"/>
        </w:rPr>
      </w:pPr>
    </w:p>
    <w:p w:rsidR="00055E1B" w:rsidRDefault="00E179CB" w:rsidP="005660C2">
      <w:pPr>
        <w:jc w:val="both"/>
        <w:outlineLvl w:val="0"/>
        <w:rPr>
          <w:sz w:val="48"/>
          <w:szCs w:val="48"/>
        </w:rPr>
      </w:pPr>
      <w:r>
        <w:rPr>
          <w:sz w:val="48"/>
          <w:szCs w:val="48"/>
        </w:rPr>
        <w:t xml:space="preserve"> </w:t>
      </w:r>
      <w:r w:rsidR="00055E1B" w:rsidRPr="00055E1B">
        <w:rPr>
          <w:sz w:val="48"/>
          <w:szCs w:val="48"/>
        </w:rPr>
        <w:t xml:space="preserve">                 Inhalt</w:t>
      </w:r>
      <w:r w:rsidR="00055E1B">
        <w:rPr>
          <w:sz w:val="48"/>
          <w:szCs w:val="48"/>
        </w:rPr>
        <w:t>sübersicht</w:t>
      </w:r>
    </w:p>
    <w:p w:rsidR="00AE2579" w:rsidRDefault="00AE2579" w:rsidP="00D820E1">
      <w:pPr>
        <w:jc w:val="both"/>
        <w:rPr>
          <w:sz w:val="48"/>
          <w:szCs w:val="48"/>
        </w:rPr>
      </w:pPr>
    </w:p>
    <w:p w:rsidR="00AE2579" w:rsidRDefault="00AE2579" w:rsidP="00D820E1">
      <w:pPr>
        <w:jc w:val="both"/>
        <w:rPr>
          <w:sz w:val="48"/>
          <w:szCs w:val="48"/>
        </w:rPr>
      </w:pPr>
    </w:p>
    <w:p w:rsidR="00AE2579" w:rsidRPr="00061170" w:rsidRDefault="00AE2579" w:rsidP="00E5033E">
      <w:pPr>
        <w:pStyle w:val="Listenabsatz"/>
        <w:numPr>
          <w:ilvl w:val="0"/>
          <w:numId w:val="6"/>
        </w:numPr>
        <w:jc w:val="both"/>
        <w:rPr>
          <w:b/>
          <w:sz w:val="24"/>
          <w:szCs w:val="24"/>
        </w:rPr>
      </w:pPr>
      <w:r w:rsidRPr="00061170">
        <w:rPr>
          <w:b/>
          <w:sz w:val="24"/>
          <w:szCs w:val="24"/>
        </w:rPr>
        <w:t>Bedarfe für Unterkunft und Heizung (§ 22 SGB II)</w:t>
      </w:r>
    </w:p>
    <w:p w:rsidR="00AE2579" w:rsidRPr="00061170" w:rsidRDefault="00AE2579" w:rsidP="00AE2579">
      <w:pPr>
        <w:ind w:left="360"/>
        <w:jc w:val="both"/>
      </w:pPr>
      <w:r w:rsidRPr="00061170">
        <w:t xml:space="preserve">   </w:t>
      </w:r>
    </w:p>
    <w:p w:rsidR="00CB6A77" w:rsidRPr="005619CA" w:rsidRDefault="004C619A" w:rsidP="00E5033E">
      <w:pPr>
        <w:pStyle w:val="Listenabsatz"/>
        <w:numPr>
          <w:ilvl w:val="0"/>
          <w:numId w:val="7"/>
        </w:numPr>
        <w:jc w:val="both"/>
        <w:rPr>
          <w:color w:val="00B050"/>
        </w:rPr>
      </w:pPr>
      <w:r w:rsidRPr="00061170">
        <w:t xml:space="preserve"> </w:t>
      </w:r>
      <w:r w:rsidR="00AE2579" w:rsidRPr="005619CA">
        <w:rPr>
          <w:color w:val="00B050"/>
        </w:rPr>
        <w:t>A</w:t>
      </w:r>
      <w:r w:rsidR="00CB6A77" w:rsidRPr="005619CA">
        <w:rPr>
          <w:color w:val="00B050"/>
        </w:rPr>
        <w:t>llgemeines zu § 22 Abs. 1 SGB II</w:t>
      </w:r>
    </w:p>
    <w:p w:rsidR="002E02BC" w:rsidRPr="005619CA" w:rsidRDefault="002E02BC" w:rsidP="002E02BC">
      <w:pPr>
        <w:ind w:left="710"/>
        <w:jc w:val="both"/>
        <w:rPr>
          <w:color w:val="00B050"/>
        </w:rPr>
      </w:pPr>
    </w:p>
    <w:p w:rsidR="00DE00DB" w:rsidRPr="00061170" w:rsidRDefault="00E44B13" w:rsidP="00E44B13">
      <w:pPr>
        <w:ind w:left="710"/>
        <w:jc w:val="both"/>
      </w:pPr>
      <w:r w:rsidRPr="00061170">
        <w:t>1.1</w:t>
      </w:r>
      <w:r w:rsidR="004C619A" w:rsidRPr="00061170">
        <w:t xml:space="preserve"> </w:t>
      </w:r>
      <w:r w:rsidR="00DE00DB" w:rsidRPr="00061170">
        <w:t>Erforderliche Nachweise</w:t>
      </w:r>
    </w:p>
    <w:p w:rsidR="002E02BC" w:rsidRPr="00061170" w:rsidRDefault="002E02BC" w:rsidP="002E02BC">
      <w:pPr>
        <w:ind w:left="710"/>
        <w:jc w:val="both"/>
      </w:pPr>
    </w:p>
    <w:p w:rsidR="00AE2579" w:rsidRPr="00061170" w:rsidRDefault="004C619A" w:rsidP="00E5033E">
      <w:pPr>
        <w:pStyle w:val="Listenabsatz"/>
        <w:numPr>
          <w:ilvl w:val="1"/>
          <w:numId w:val="6"/>
        </w:numPr>
        <w:jc w:val="both"/>
      </w:pPr>
      <w:r w:rsidRPr="00061170">
        <w:t xml:space="preserve"> </w:t>
      </w:r>
      <w:r w:rsidR="00CB6A77" w:rsidRPr="00061170">
        <w:t>A</w:t>
      </w:r>
      <w:r w:rsidR="00AE2579" w:rsidRPr="00061170">
        <w:t>ngemessene Aufwendungen (§</w:t>
      </w:r>
      <w:r w:rsidR="00065118" w:rsidRPr="00061170">
        <w:t xml:space="preserve"> </w:t>
      </w:r>
      <w:r w:rsidR="00AE2579" w:rsidRPr="00061170">
        <w:t>22 Abs. 1 Satz 1 SGB II)</w:t>
      </w:r>
    </w:p>
    <w:p w:rsidR="004C619A" w:rsidRPr="00061170" w:rsidRDefault="004C619A" w:rsidP="004C619A">
      <w:pPr>
        <w:pStyle w:val="Listenabsatz"/>
      </w:pPr>
    </w:p>
    <w:p w:rsidR="00AE2579" w:rsidRPr="00061170" w:rsidRDefault="004C619A" w:rsidP="004C619A">
      <w:pPr>
        <w:ind w:left="1070"/>
        <w:jc w:val="both"/>
      </w:pPr>
      <w:r w:rsidRPr="00061170">
        <w:t>1.</w:t>
      </w:r>
      <w:r w:rsidR="00E44B13" w:rsidRPr="00061170">
        <w:t>2</w:t>
      </w:r>
      <w:r w:rsidRPr="00061170">
        <w:t xml:space="preserve">.1  </w:t>
      </w:r>
      <w:r w:rsidR="002E02BC" w:rsidRPr="00061170">
        <w:t>Angemessene Unterkunftskosten</w:t>
      </w:r>
    </w:p>
    <w:p w:rsidR="002E02BC" w:rsidRPr="00D016CE" w:rsidRDefault="004C619A" w:rsidP="004C619A">
      <w:pPr>
        <w:ind w:left="1070"/>
        <w:jc w:val="both"/>
        <w:rPr>
          <w:color w:val="00B050"/>
        </w:rPr>
      </w:pPr>
      <w:r w:rsidRPr="00D016CE">
        <w:rPr>
          <w:color w:val="00B050"/>
        </w:rPr>
        <w:t>1.</w:t>
      </w:r>
      <w:r w:rsidR="00E44B13" w:rsidRPr="00D016CE">
        <w:rPr>
          <w:color w:val="00B050"/>
        </w:rPr>
        <w:t>2</w:t>
      </w:r>
      <w:r w:rsidRPr="00D016CE">
        <w:rPr>
          <w:color w:val="00B050"/>
        </w:rPr>
        <w:t xml:space="preserve">.2  </w:t>
      </w:r>
      <w:r w:rsidR="002E02BC" w:rsidRPr="00D016CE">
        <w:rPr>
          <w:color w:val="00B050"/>
        </w:rPr>
        <w:t>Angemessene Heizkosten</w:t>
      </w:r>
    </w:p>
    <w:p w:rsidR="002E02BC" w:rsidRPr="00061170" w:rsidRDefault="004C619A" w:rsidP="004C619A">
      <w:pPr>
        <w:ind w:left="1070"/>
        <w:jc w:val="both"/>
      </w:pPr>
      <w:r w:rsidRPr="00061170">
        <w:t>1.</w:t>
      </w:r>
      <w:r w:rsidR="00E44B13" w:rsidRPr="00061170">
        <w:t>2</w:t>
      </w:r>
      <w:r w:rsidRPr="00061170">
        <w:t xml:space="preserve">.3  </w:t>
      </w:r>
      <w:r w:rsidR="002E02BC" w:rsidRPr="00061170">
        <w:t>Angemessene Warmwasserkosten</w:t>
      </w:r>
    </w:p>
    <w:p w:rsidR="004A10ED" w:rsidRPr="00061170" w:rsidRDefault="004A10ED" w:rsidP="002E02BC">
      <w:pPr>
        <w:ind w:left="1070"/>
        <w:jc w:val="both"/>
      </w:pPr>
    </w:p>
    <w:p w:rsidR="004A10ED" w:rsidRPr="00061170" w:rsidRDefault="004C619A" w:rsidP="00E5033E">
      <w:pPr>
        <w:pStyle w:val="Listenabsatz"/>
        <w:numPr>
          <w:ilvl w:val="1"/>
          <w:numId w:val="6"/>
        </w:numPr>
        <w:jc w:val="both"/>
      </w:pPr>
      <w:r w:rsidRPr="00061170">
        <w:t xml:space="preserve"> </w:t>
      </w:r>
      <w:r w:rsidR="004A10ED" w:rsidRPr="00061170">
        <w:t>Schönheitsreparaturen</w:t>
      </w:r>
      <w:r w:rsidR="002C3A07" w:rsidRPr="00061170">
        <w:t>, Ein- und Auszugsrenovierung</w:t>
      </w:r>
      <w:r w:rsidR="0068793E" w:rsidRPr="00061170">
        <w:t>, Kleinreparaturen</w:t>
      </w:r>
    </w:p>
    <w:p w:rsidR="004A10ED" w:rsidRPr="00061170" w:rsidRDefault="004A10ED" w:rsidP="004A10ED">
      <w:pPr>
        <w:ind w:left="710"/>
        <w:jc w:val="both"/>
      </w:pPr>
    </w:p>
    <w:p w:rsidR="004C619A" w:rsidRPr="004C225A" w:rsidRDefault="00DD53F6" w:rsidP="00E5033E">
      <w:pPr>
        <w:pStyle w:val="Listenabsatz"/>
        <w:numPr>
          <w:ilvl w:val="1"/>
          <w:numId w:val="6"/>
        </w:numPr>
        <w:jc w:val="both"/>
        <w:rPr>
          <w:color w:val="00B050"/>
        </w:rPr>
      </w:pPr>
      <w:r w:rsidRPr="00061170">
        <w:t xml:space="preserve"> </w:t>
      </w:r>
      <w:r w:rsidR="00AE2579" w:rsidRPr="004C225A">
        <w:rPr>
          <w:color w:val="00B050"/>
        </w:rPr>
        <w:t xml:space="preserve">Erhöhung der  Aufwendungen nach nicht erforderlichen Umzug </w:t>
      </w:r>
    </w:p>
    <w:p w:rsidR="00AE2579" w:rsidRPr="004C225A" w:rsidRDefault="004C619A" w:rsidP="004C619A">
      <w:pPr>
        <w:ind w:left="1070"/>
        <w:jc w:val="both"/>
        <w:rPr>
          <w:color w:val="00B050"/>
        </w:rPr>
      </w:pPr>
      <w:r w:rsidRPr="004C225A">
        <w:rPr>
          <w:color w:val="00B050"/>
        </w:rPr>
        <w:t xml:space="preserve"> </w:t>
      </w:r>
      <w:r w:rsidR="00AE2579" w:rsidRPr="004C225A">
        <w:rPr>
          <w:color w:val="00B050"/>
        </w:rPr>
        <w:t xml:space="preserve">(§ 22 Abs. 1 Satz 2 SGB II) </w:t>
      </w:r>
    </w:p>
    <w:p w:rsidR="00AE2579" w:rsidRPr="00061170" w:rsidRDefault="00AE2579" w:rsidP="00AE2579">
      <w:pPr>
        <w:ind w:left="660"/>
        <w:jc w:val="both"/>
      </w:pPr>
    </w:p>
    <w:p w:rsidR="004C619A" w:rsidRPr="00061170" w:rsidRDefault="004C619A" w:rsidP="00E5033E">
      <w:pPr>
        <w:pStyle w:val="Listenabsatz"/>
        <w:numPr>
          <w:ilvl w:val="1"/>
          <w:numId w:val="6"/>
        </w:numPr>
        <w:jc w:val="both"/>
      </w:pPr>
      <w:r w:rsidRPr="00061170">
        <w:t xml:space="preserve"> </w:t>
      </w:r>
      <w:r w:rsidR="00AE2579" w:rsidRPr="00061170">
        <w:t>Vorübergehende Übernahme von unangemessenen Unterkunft- und Heizkosten</w:t>
      </w:r>
    </w:p>
    <w:p w:rsidR="00AE2579" w:rsidRPr="00061170" w:rsidRDefault="004C619A" w:rsidP="004C619A">
      <w:pPr>
        <w:ind w:left="1070"/>
        <w:jc w:val="both"/>
      </w:pPr>
      <w:r w:rsidRPr="00061170">
        <w:t xml:space="preserve"> </w:t>
      </w:r>
      <w:r w:rsidR="00AE2579" w:rsidRPr="00061170">
        <w:t>(Frist zur Kostensenkung) (§ 22 Abs. 1 Satz 3 SGB II)</w:t>
      </w:r>
    </w:p>
    <w:p w:rsidR="00AE2579" w:rsidRPr="00061170" w:rsidRDefault="00AE2579" w:rsidP="00AE2579">
      <w:pPr>
        <w:ind w:left="660"/>
        <w:jc w:val="both"/>
      </w:pPr>
    </w:p>
    <w:p w:rsidR="00B00376" w:rsidRDefault="00DD53F6" w:rsidP="00E5033E">
      <w:pPr>
        <w:pStyle w:val="Listenabsatz"/>
        <w:numPr>
          <w:ilvl w:val="1"/>
          <w:numId w:val="6"/>
        </w:numPr>
        <w:jc w:val="both"/>
      </w:pPr>
      <w:r w:rsidRPr="00061170">
        <w:t xml:space="preserve"> </w:t>
      </w:r>
      <w:r w:rsidR="00B00376" w:rsidRPr="00061170">
        <w:t>einmalige Heizkosten</w:t>
      </w:r>
      <w:r w:rsidR="00E44B13" w:rsidRPr="00061170">
        <w:t xml:space="preserve"> bei „Selbstbeschaffern“</w:t>
      </w:r>
    </w:p>
    <w:p w:rsidR="005619CA" w:rsidRDefault="005619CA" w:rsidP="005619CA">
      <w:pPr>
        <w:ind w:left="710"/>
        <w:jc w:val="both"/>
      </w:pPr>
    </w:p>
    <w:p w:rsidR="005619CA" w:rsidRPr="00061170" w:rsidRDefault="005619CA" w:rsidP="005619CA">
      <w:pPr>
        <w:ind w:left="710"/>
        <w:jc w:val="both"/>
      </w:pPr>
      <w:r>
        <w:t xml:space="preserve">     </w:t>
      </w:r>
      <w:r w:rsidRPr="005619CA">
        <w:rPr>
          <w:color w:val="00B050"/>
        </w:rPr>
        <w:t>1.6.1 Verhältnis zu Wohngeld und Kinderzuschlag</w:t>
      </w:r>
    </w:p>
    <w:p w:rsidR="00B00376" w:rsidRPr="00061170" w:rsidRDefault="00B00376" w:rsidP="00B00376">
      <w:pPr>
        <w:ind w:left="710"/>
        <w:jc w:val="both"/>
      </w:pPr>
    </w:p>
    <w:p w:rsidR="00A54FA8" w:rsidRPr="00061170" w:rsidRDefault="00DD53F6" w:rsidP="00E5033E">
      <w:pPr>
        <w:pStyle w:val="Listenabsatz"/>
        <w:numPr>
          <w:ilvl w:val="1"/>
          <w:numId w:val="6"/>
        </w:numPr>
        <w:jc w:val="both"/>
      </w:pPr>
      <w:r w:rsidRPr="00061170">
        <w:t xml:space="preserve"> </w:t>
      </w:r>
      <w:r w:rsidR="00A54FA8" w:rsidRPr="00061170">
        <w:t xml:space="preserve">Nebenkostennachforderungen </w:t>
      </w:r>
    </w:p>
    <w:p w:rsidR="00A54FA8" w:rsidRPr="00061170" w:rsidRDefault="00A54FA8" w:rsidP="00A54FA8">
      <w:pPr>
        <w:pStyle w:val="Listenabsatz"/>
      </w:pPr>
    </w:p>
    <w:p w:rsidR="00A54FA8" w:rsidRPr="00061170" w:rsidRDefault="00A54FA8" w:rsidP="00E5033E">
      <w:pPr>
        <w:pStyle w:val="Listenabsatz"/>
        <w:numPr>
          <w:ilvl w:val="2"/>
          <w:numId w:val="6"/>
        </w:numPr>
        <w:jc w:val="both"/>
      </w:pPr>
      <w:r w:rsidRPr="00061170">
        <w:t>Nebenkostennachforderungen bei laufenden Fällen</w:t>
      </w:r>
    </w:p>
    <w:p w:rsidR="00A54FA8" w:rsidRPr="00061170" w:rsidRDefault="00A54FA8" w:rsidP="00E5033E">
      <w:pPr>
        <w:pStyle w:val="Listenabsatz"/>
        <w:numPr>
          <w:ilvl w:val="2"/>
          <w:numId w:val="6"/>
        </w:numPr>
        <w:jc w:val="both"/>
      </w:pPr>
      <w:r w:rsidRPr="00061170">
        <w:t>Nebenkostennachforderungen bei nichtlaufenden Fällen</w:t>
      </w:r>
    </w:p>
    <w:p w:rsidR="00A54FA8" w:rsidRPr="00061170" w:rsidRDefault="00A54FA8" w:rsidP="00A54FA8">
      <w:pPr>
        <w:ind w:left="1060"/>
        <w:jc w:val="both"/>
      </w:pPr>
    </w:p>
    <w:p w:rsidR="00B00376" w:rsidRPr="00061170" w:rsidRDefault="00DD53F6" w:rsidP="00E5033E">
      <w:pPr>
        <w:pStyle w:val="Listenabsatz"/>
        <w:numPr>
          <w:ilvl w:val="1"/>
          <w:numId w:val="6"/>
        </w:numPr>
        <w:jc w:val="both"/>
      </w:pPr>
      <w:r w:rsidRPr="00061170">
        <w:t xml:space="preserve"> </w:t>
      </w:r>
      <w:r w:rsidR="00B00376" w:rsidRPr="00061170">
        <w:t xml:space="preserve">Keine Aufforderung zum Wohnungswechsel bei Unwirtschaftlichkeit </w:t>
      </w:r>
    </w:p>
    <w:p w:rsidR="00B00376" w:rsidRPr="00061170" w:rsidRDefault="00B00376" w:rsidP="00B00376">
      <w:pPr>
        <w:ind w:left="710"/>
        <w:jc w:val="both"/>
      </w:pPr>
      <w:r w:rsidRPr="00061170">
        <w:t xml:space="preserve">       (§ 22 Abs. 1 Satz 4 SGB II)</w:t>
      </w:r>
    </w:p>
    <w:p w:rsidR="00B00376" w:rsidRPr="00061170" w:rsidRDefault="00B00376" w:rsidP="008D1EE8">
      <w:pPr>
        <w:ind w:left="710"/>
        <w:jc w:val="both"/>
      </w:pPr>
    </w:p>
    <w:p w:rsidR="00EA434A" w:rsidRPr="00061170" w:rsidRDefault="00EA434A" w:rsidP="008D1EE8">
      <w:pPr>
        <w:ind w:left="710"/>
        <w:jc w:val="both"/>
      </w:pPr>
    </w:p>
    <w:p w:rsidR="008D1EE8" w:rsidRPr="00061170" w:rsidRDefault="008D1EE8" w:rsidP="00E5033E">
      <w:pPr>
        <w:pStyle w:val="Listenabsatz"/>
        <w:numPr>
          <w:ilvl w:val="0"/>
          <w:numId w:val="7"/>
        </w:numPr>
        <w:jc w:val="both"/>
      </w:pPr>
      <w:r w:rsidRPr="00061170">
        <w:t>Allgemeines zu § 22 Abs. 2 SGB II</w:t>
      </w:r>
    </w:p>
    <w:p w:rsidR="00D820E1" w:rsidRPr="00061170" w:rsidRDefault="00D820E1" w:rsidP="00D820E1">
      <w:pPr>
        <w:jc w:val="both"/>
      </w:pPr>
    </w:p>
    <w:p w:rsidR="00EA434A" w:rsidRPr="00061170" w:rsidRDefault="00EA434A" w:rsidP="00EA434A">
      <w:pPr>
        <w:jc w:val="both"/>
      </w:pPr>
      <w:r w:rsidRPr="00061170">
        <w:t xml:space="preserve">            2.1 </w:t>
      </w:r>
      <w:r w:rsidR="00822B5A" w:rsidRPr="00061170">
        <w:t xml:space="preserve"> </w:t>
      </w:r>
      <w:r w:rsidRPr="00061170">
        <w:t>Aufwendungen für Instandhaltung und Reparatur</w:t>
      </w:r>
    </w:p>
    <w:p w:rsidR="00C12CCD" w:rsidRPr="00061170" w:rsidRDefault="00C12CCD" w:rsidP="00D820E1">
      <w:pPr>
        <w:jc w:val="both"/>
      </w:pPr>
    </w:p>
    <w:p w:rsidR="00EA434A" w:rsidRPr="00061170" w:rsidRDefault="00EA434A" w:rsidP="00EA434A">
      <w:pPr>
        <w:jc w:val="both"/>
      </w:pPr>
      <w:r w:rsidRPr="00061170">
        <w:t xml:space="preserve">            2.2  Übernahme unabweisbarer angemessener Aufwendungen als </w:t>
      </w:r>
    </w:p>
    <w:p w:rsidR="00EA434A" w:rsidRPr="00061170" w:rsidRDefault="00EA434A" w:rsidP="00EA434A">
      <w:pPr>
        <w:jc w:val="both"/>
      </w:pPr>
      <w:r w:rsidRPr="00061170">
        <w:t xml:space="preserve">                   Zuschuss /  Berechnung    (§ 22 Abs. 2 Satz 1 SGBII)</w:t>
      </w:r>
    </w:p>
    <w:p w:rsidR="00C12CCD" w:rsidRPr="00061170" w:rsidRDefault="00C12CCD" w:rsidP="00D820E1">
      <w:pPr>
        <w:jc w:val="both"/>
      </w:pPr>
    </w:p>
    <w:p w:rsidR="00EA434A" w:rsidRPr="00061170" w:rsidRDefault="00EA434A" w:rsidP="00EA434A">
      <w:pPr>
        <w:jc w:val="both"/>
      </w:pPr>
      <w:r w:rsidRPr="00061170">
        <w:t xml:space="preserve">            2.3  Übernahme unabweisbarer Aufwendungen als Darlehen</w:t>
      </w:r>
    </w:p>
    <w:p w:rsidR="00EA434A" w:rsidRPr="00061170" w:rsidRDefault="00EA434A" w:rsidP="00EA434A">
      <w:pPr>
        <w:ind w:left="283"/>
        <w:jc w:val="both"/>
      </w:pPr>
      <w:r w:rsidRPr="00061170">
        <w:t xml:space="preserve">              (§ 22 Abs. 2 Satz 2 SGBII)</w:t>
      </w:r>
    </w:p>
    <w:p w:rsidR="00C12CCD" w:rsidRPr="00061170" w:rsidRDefault="00C12CCD" w:rsidP="00D820E1">
      <w:pPr>
        <w:jc w:val="both"/>
      </w:pPr>
    </w:p>
    <w:p w:rsidR="009C1A5D" w:rsidRDefault="009C1A5D" w:rsidP="00D820E1">
      <w:pPr>
        <w:jc w:val="both"/>
      </w:pPr>
    </w:p>
    <w:p w:rsidR="006627B1" w:rsidRDefault="006627B1" w:rsidP="00D820E1">
      <w:pPr>
        <w:jc w:val="both"/>
      </w:pPr>
    </w:p>
    <w:p w:rsidR="006627B1" w:rsidRDefault="006627B1" w:rsidP="00D820E1">
      <w:pPr>
        <w:jc w:val="both"/>
      </w:pPr>
    </w:p>
    <w:p w:rsidR="006627B1" w:rsidRPr="00061170" w:rsidRDefault="006627B1" w:rsidP="00D820E1">
      <w:pPr>
        <w:jc w:val="both"/>
      </w:pPr>
    </w:p>
    <w:p w:rsidR="009B7715" w:rsidRPr="00061170" w:rsidRDefault="009B7715" w:rsidP="00D820E1">
      <w:pPr>
        <w:jc w:val="both"/>
      </w:pPr>
    </w:p>
    <w:p w:rsidR="00C12CCD" w:rsidRPr="00A9499A" w:rsidRDefault="00B44B82" w:rsidP="00B05BF5">
      <w:pPr>
        <w:pStyle w:val="Listenabsatz"/>
        <w:numPr>
          <w:ilvl w:val="0"/>
          <w:numId w:val="7"/>
        </w:numPr>
        <w:jc w:val="both"/>
        <w:rPr>
          <w:color w:val="00B050"/>
        </w:rPr>
      </w:pPr>
      <w:r w:rsidRPr="00A9499A">
        <w:rPr>
          <w:color w:val="00B050"/>
        </w:rPr>
        <w:t>Rückzahlungen und Guthaben (§ 22 Abs. 3 SGB II)</w:t>
      </w:r>
    </w:p>
    <w:p w:rsidR="00B05BF5" w:rsidRPr="00061170" w:rsidRDefault="00B05BF5" w:rsidP="00B05BF5">
      <w:pPr>
        <w:ind w:left="710"/>
        <w:jc w:val="both"/>
      </w:pPr>
    </w:p>
    <w:p w:rsidR="009C1A5D" w:rsidRPr="00061170" w:rsidRDefault="009C1A5D" w:rsidP="009C1A5D">
      <w:pPr>
        <w:jc w:val="both"/>
      </w:pPr>
      <w:r w:rsidRPr="00061170">
        <w:t xml:space="preserve">           </w:t>
      </w:r>
      <w:r w:rsidRPr="0005764A">
        <w:rPr>
          <w:color w:val="00B050"/>
        </w:rPr>
        <w:t>4.  Zusicherung zur Übernahme der KdU bei Umzug (§ 22 Abs. 4 SGB II)</w:t>
      </w:r>
    </w:p>
    <w:p w:rsidR="00C12CCD" w:rsidRDefault="00C12CCD" w:rsidP="00D820E1">
      <w:pPr>
        <w:jc w:val="both"/>
      </w:pPr>
    </w:p>
    <w:p w:rsidR="003E182D" w:rsidRPr="00061170" w:rsidRDefault="003E182D" w:rsidP="00D820E1">
      <w:pPr>
        <w:jc w:val="both"/>
      </w:pPr>
    </w:p>
    <w:p w:rsidR="00C12CCD" w:rsidRPr="00061170" w:rsidRDefault="005744F0" w:rsidP="00D820E1">
      <w:pPr>
        <w:jc w:val="both"/>
      </w:pPr>
      <w:r w:rsidRPr="00061170">
        <w:t xml:space="preserve">           5. Allgemeines zu § 22 Abs. 5 SGB II</w:t>
      </w:r>
    </w:p>
    <w:p w:rsidR="005744F0" w:rsidRPr="00061170" w:rsidRDefault="005744F0" w:rsidP="00D820E1">
      <w:pPr>
        <w:jc w:val="both"/>
      </w:pPr>
    </w:p>
    <w:p w:rsidR="00C12CCD" w:rsidRPr="00061170" w:rsidRDefault="005744F0" w:rsidP="00D820E1">
      <w:pPr>
        <w:jc w:val="both"/>
      </w:pPr>
      <w:r w:rsidRPr="00061170">
        <w:t xml:space="preserve">          5.1 Zeitpunkt der Zusicherung (§ 22 Abs. 5 Satz 1 SGB II</w:t>
      </w:r>
    </w:p>
    <w:p w:rsidR="005744F0" w:rsidRPr="00061170" w:rsidRDefault="005744F0" w:rsidP="00D820E1">
      <w:pPr>
        <w:jc w:val="both"/>
      </w:pPr>
    </w:p>
    <w:p w:rsidR="005744F0" w:rsidRPr="00061170" w:rsidRDefault="005744F0" w:rsidP="005744F0">
      <w:pPr>
        <w:jc w:val="both"/>
      </w:pPr>
      <w:r w:rsidRPr="00061170">
        <w:t xml:space="preserve">          5.2 Anspruch auf Zusicherung (§ 22 Abs. 5 Satz 2 SGB II)</w:t>
      </w:r>
    </w:p>
    <w:p w:rsidR="004D4AAE" w:rsidRPr="00061170" w:rsidRDefault="004D4AAE" w:rsidP="005744F0">
      <w:pPr>
        <w:jc w:val="both"/>
      </w:pPr>
    </w:p>
    <w:p w:rsidR="005744F0" w:rsidRPr="00061170" w:rsidRDefault="005744F0" w:rsidP="005744F0">
      <w:pPr>
        <w:jc w:val="both"/>
      </w:pPr>
      <w:r w:rsidRPr="00061170">
        <w:t xml:space="preserve">          </w:t>
      </w:r>
      <w:r w:rsidR="004D4AAE" w:rsidRPr="00061170">
        <w:t xml:space="preserve"> </w:t>
      </w:r>
      <w:r w:rsidRPr="00061170">
        <w:t>5.2.1 schwerwiegende soziale Gründe</w:t>
      </w:r>
    </w:p>
    <w:p w:rsidR="005744F0" w:rsidRPr="00061170" w:rsidRDefault="005744F0" w:rsidP="005744F0">
      <w:pPr>
        <w:jc w:val="both"/>
      </w:pPr>
      <w:r w:rsidRPr="00061170">
        <w:t xml:space="preserve">         </w:t>
      </w:r>
      <w:r w:rsidR="004D4AAE" w:rsidRPr="00061170">
        <w:t xml:space="preserve"> </w:t>
      </w:r>
      <w:r w:rsidRPr="00061170">
        <w:t xml:space="preserve"> 5.2.2 Eingliederung in den Arbeitsmarkt</w:t>
      </w:r>
    </w:p>
    <w:p w:rsidR="005744F0" w:rsidRPr="00061170" w:rsidRDefault="005744F0" w:rsidP="005744F0">
      <w:pPr>
        <w:jc w:val="both"/>
      </w:pPr>
      <w:r w:rsidRPr="00061170">
        <w:t xml:space="preserve">         </w:t>
      </w:r>
      <w:r w:rsidR="004D4AAE" w:rsidRPr="00061170">
        <w:t xml:space="preserve"> </w:t>
      </w:r>
      <w:r w:rsidRPr="00061170">
        <w:t xml:space="preserve"> 5.2.3 sonstige ähnlich schwerwiegende Gründe</w:t>
      </w:r>
    </w:p>
    <w:p w:rsidR="00C12CCD" w:rsidRPr="00061170" w:rsidRDefault="00C12CCD" w:rsidP="00D820E1">
      <w:pPr>
        <w:jc w:val="both"/>
      </w:pPr>
    </w:p>
    <w:p w:rsidR="005744F0" w:rsidRPr="00061170" w:rsidRDefault="005744F0" w:rsidP="005744F0">
      <w:pPr>
        <w:jc w:val="both"/>
      </w:pPr>
      <w:r w:rsidRPr="00061170">
        <w:t xml:space="preserve">  </w:t>
      </w:r>
      <w:r w:rsidR="004D4AAE" w:rsidRPr="00061170">
        <w:t xml:space="preserve">     </w:t>
      </w:r>
      <w:r w:rsidRPr="00061170">
        <w:t xml:space="preserve"> </w:t>
      </w:r>
      <w:r w:rsidR="004D4AAE" w:rsidRPr="00061170">
        <w:t xml:space="preserve"> </w:t>
      </w:r>
      <w:r w:rsidRPr="00061170">
        <w:t xml:space="preserve"> 5.3 Entbehrlichkeit Zusicherung (§ 22 Abs. 5 Satz 3 SGB II) </w:t>
      </w:r>
    </w:p>
    <w:p w:rsidR="005744F0" w:rsidRPr="00061170" w:rsidRDefault="005744F0" w:rsidP="005744F0">
      <w:pPr>
        <w:jc w:val="both"/>
      </w:pPr>
    </w:p>
    <w:p w:rsidR="005744F0" w:rsidRPr="00061170" w:rsidRDefault="005744F0" w:rsidP="005744F0">
      <w:pPr>
        <w:jc w:val="both"/>
      </w:pPr>
      <w:r w:rsidRPr="00061170">
        <w:t xml:space="preserve">   </w:t>
      </w:r>
      <w:r w:rsidR="004D4AAE" w:rsidRPr="00061170">
        <w:t xml:space="preserve">      </w:t>
      </w:r>
      <w:r w:rsidRPr="00061170">
        <w:t xml:space="preserve"> 5.4 Absichtliche Herbeiführung der Hilfebedürftigkeit (§ 22 Abs. 5 Satz 4 SGB II)</w:t>
      </w:r>
    </w:p>
    <w:p w:rsidR="00106249" w:rsidRPr="00061170" w:rsidRDefault="00106249" w:rsidP="005744F0">
      <w:pPr>
        <w:jc w:val="both"/>
      </w:pPr>
    </w:p>
    <w:p w:rsidR="00C12CCD" w:rsidRPr="00061170" w:rsidRDefault="00106249" w:rsidP="00D820E1">
      <w:pPr>
        <w:jc w:val="both"/>
      </w:pPr>
      <w:r w:rsidRPr="00061170">
        <w:t xml:space="preserve">          </w:t>
      </w:r>
      <w:r w:rsidR="00CF2DD4" w:rsidRPr="00061170">
        <w:t>6.</w:t>
      </w:r>
      <w:r w:rsidRPr="00061170">
        <w:t xml:space="preserve"> Wohnungsbeschaffungs- und Umzugskosten (§ 22 Abs. 6 SGB II)</w:t>
      </w:r>
    </w:p>
    <w:p w:rsidR="00106249" w:rsidRPr="00061170" w:rsidRDefault="00106249" w:rsidP="00D820E1">
      <w:pPr>
        <w:jc w:val="both"/>
      </w:pPr>
    </w:p>
    <w:p w:rsidR="00106249" w:rsidRPr="00061170" w:rsidRDefault="00106249" w:rsidP="00106249">
      <w:pPr>
        <w:rPr>
          <w:rFonts w:cs="Arial"/>
        </w:rPr>
      </w:pPr>
      <w:r w:rsidRPr="00061170">
        <w:t xml:space="preserve">            </w:t>
      </w:r>
      <w:r w:rsidR="009C408B" w:rsidRPr="00061170">
        <w:t xml:space="preserve"> </w:t>
      </w:r>
      <w:r w:rsidR="00CF2DD4" w:rsidRPr="00061170">
        <w:t>6</w:t>
      </w:r>
      <w:r w:rsidRPr="00061170">
        <w:rPr>
          <w:rFonts w:cs="Arial"/>
        </w:rPr>
        <w:t>.1 Wohnungsbeschaffungskosten</w:t>
      </w:r>
    </w:p>
    <w:p w:rsidR="00106249" w:rsidRPr="00061170" w:rsidRDefault="00106249" w:rsidP="00106249">
      <w:pPr>
        <w:rPr>
          <w:rFonts w:cs="Arial"/>
        </w:rPr>
      </w:pPr>
      <w:r w:rsidRPr="00061170">
        <w:t xml:space="preserve">           </w:t>
      </w:r>
      <w:r w:rsidR="003E182D">
        <w:t xml:space="preserve"> </w:t>
      </w:r>
      <w:r w:rsidR="009C408B" w:rsidRPr="00061170">
        <w:t xml:space="preserve"> </w:t>
      </w:r>
      <w:r w:rsidR="00CF2DD4" w:rsidRPr="00061170">
        <w:t>6</w:t>
      </w:r>
      <w:r w:rsidRPr="00061170">
        <w:rPr>
          <w:rFonts w:cs="Arial"/>
        </w:rPr>
        <w:t>.2 Umzugskosten</w:t>
      </w:r>
    </w:p>
    <w:p w:rsidR="00BA0C3D" w:rsidRDefault="00BA0C3D" w:rsidP="00BA0C3D">
      <w:pPr>
        <w:jc w:val="both"/>
        <w:rPr>
          <w:rFonts w:cs="Arial"/>
        </w:rPr>
      </w:pPr>
      <w:r w:rsidRPr="00061170">
        <w:t xml:space="preserve">          </w:t>
      </w:r>
      <w:r w:rsidR="002E3A3C" w:rsidRPr="00061170">
        <w:t xml:space="preserve"> </w:t>
      </w:r>
      <w:r w:rsidR="00D202DC">
        <w:t xml:space="preserve"> </w:t>
      </w:r>
      <w:r w:rsidR="002E3A3C" w:rsidRPr="00061170">
        <w:t xml:space="preserve"> </w:t>
      </w:r>
      <w:r w:rsidR="009C408B" w:rsidRPr="00061170">
        <w:t>6</w:t>
      </w:r>
      <w:r w:rsidRPr="00061170">
        <w:rPr>
          <w:rFonts w:cs="Arial"/>
        </w:rPr>
        <w:t xml:space="preserve">.3 </w:t>
      </w:r>
      <w:r w:rsidR="00722B92" w:rsidRPr="00061170">
        <w:rPr>
          <w:rFonts w:cs="Arial"/>
        </w:rPr>
        <w:t>Zuständigkeiten</w:t>
      </w:r>
    </w:p>
    <w:p w:rsidR="00D202DC" w:rsidRPr="00061170" w:rsidRDefault="00D202DC" w:rsidP="00BA0C3D">
      <w:pPr>
        <w:jc w:val="both"/>
        <w:rPr>
          <w:rFonts w:cs="Arial"/>
        </w:rPr>
      </w:pPr>
      <w:r>
        <w:rPr>
          <w:rFonts w:cs="Arial"/>
        </w:rPr>
        <w:t xml:space="preserve">             </w:t>
      </w:r>
      <w:r w:rsidRPr="00D202DC">
        <w:rPr>
          <w:rFonts w:cs="Arial"/>
          <w:color w:val="00B050"/>
          <w:sz w:val="24"/>
          <w:szCs w:val="24"/>
        </w:rPr>
        <w:t>6.3.1 Zuständigkeit innerhalb des JC</w:t>
      </w:r>
    </w:p>
    <w:p w:rsidR="00C12CCD" w:rsidRPr="00061170" w:rsidRDefault="00722B92" w:rsidP="00D820E1">
      <w:pPr>
        <w:jc w:val="both"/>
      </w:pPr>
      <w:r w:rsidRPr="00061170">
        <w:t xml:space="preserve">         </w:t>
      </w:r>
    </w:p>
    <w:p w:rsidR="00722B92" w:rsidRPr="00061170" w:rsidRDefault="00722B92" w:rsidP="00722B92">
      <w:pPr>
        <w:jc w:val="both"/>
        <w:rPr>
          <w:rFonts w:cs="Arial"/>
        </w:rPr>
      </w:pPr>
      <w:r w:rsidRPr="00061170">
        <w:t xml:space="preserve">          </w:t>
      </w:r>
      <w:r w:rsidRPr="00061170">
        <w:rPr>
          <w:rFonts w:cs="Arial"/>
        </w:rPr>
        <w:t>7. Direktzahlung an Vermieter und andere Berechtigte (§ 22 Abs. 7 SGB II)</w:t>
      </w:r>
    </w:p>
    <w:p w:rsidR="00BA0C3D" w:rsidRPr="00061170" w:rsidRDefault="00BA0C3D" w:rsidP="00D820E1">
      <w:pPr>
        <w:jc w:val="both"/>
      </w:pPr>
    </w:p>
    <w:p w:rsidR="00F76D0C" w:rsidRPr="00061170" w:rsidRDefault="00F76D0C" w:rsidP="00F76D0C">
      <w:pPr>
        <w:jc w:val="both"/>
        <w:rPr>
          <w:rFonts w:cs="Arial"/>
        </w:rPr>
      </w:pPr>
      <w:r w:rsidRPr="00061170">
        <w:t xml:space="preserve">          </w:t>
      </w:r>
      <w:r w:rsidRPr="00061170">
        <w:rPr>
          <w:rFonts w:cs="Arial"/>
        </w:rPr>
        <w:t>8. Übernahme von Schulden (§ 22 Abs. 8 SGB II)</w:t>
      </w:r>
    </w:p>
    <w:p w:rsidR="00BA0C3D" w:rsidRPr="00061170" w:rsidRDefault="00BA0C3D" w:rsidP="00D820E1">
      <w:pPr>
        <w:jc w:val="both"/>
      </w:pPr>
    </w:p>
    <w:p w:rsidR="005A353D" w:rsidRPr="00061170" w:rsidRDefault="005A353D" w:rsidP="005A353D">
      <w:pPr>
        <w:jc w:val="both"/>
      </w:pPr>
      <w:r w:rsidRPr="00061170">
        <w:t xml:space="preserve">          9. Mitteilung des Amtsgerichts bei Eingang von Räumungsklagen </w:t>
      </w:r>
    </w:p>
    <w:p w:rsidR="005A353D" w:rsidRPr="00061170" w:rsidRDefault="005A353D" w:rsidP="005A353D">
      <w:pPr>
        <w:jc w:val="both"/>
      </w:pPr>
      <w:r w:rsidRPr="00061170">
        <w:t xml:space="preserve">             (§ 22 Abs. 9   SGB II)</w:t>
      </w:r>
    </w:p>
    <w:p w:rsidR="00BA0C3D" w:rsidRPr="00061170" w:rsidRDefault="00BA0C3D" w:rsidP="00D820E1">
      <w:pPr>
        <w:jc w:val="both"/>
      </w:pPr>
    </w:p>
    <w:p w:rsidR="00BA0C3D" w:rsidRPr="00061170" w:rsidRDefault="00BA0C3D" w:rsidP="00D820E1">
      <w:pPr>
        <w:jc w:val="both"/>
      </w:pPr>
    </w:p>
    <w:p w:rsidR="00F17986" w:rsidRPr="00061170" w:rsidRDefault="00F17986" w:rsidP="00E5033E">
      <w:pPr>
        <w:pStyle w:val="Listenabsatz"/>
        <w:numPr>
          <w:ilvl w:val="0"/>
          <w:numId w:val="6"/>
        </w:numPr>
        <w:jc w:val="both"/>
        <w:rPr>
          <w:b/>
          <w:sz w:val="24"/>
          <w:szCs w:val="24"/>
        </w:rPr>
      </w:pPr>
      <w:r w:rsidRPr="00061170">
        <w:rPr>
          <w:b/>
          <w:sz w:val="24"/>
          <w:szCs w:val="24"/>
        </w:rPr>
        <w:t>Leistungen für Erstausstattungen (§ 24 Abs. 3 Satz 1 Nr. 1 und 2 SGBII)</w:t>
      </w:r>
    </w:p>
    <w:p w:rsidR="00BA0C3D" w:rsidRPr="00061170" w:rsidRDefault="00BA0C3D" w:rsidP="00D820E1">
      <w:pPr>
        <w:jc w:val="both"/>
      </w:pPr>
    </w:p>
    <w:p w:rsidR="00F17986" w:rsidRPr="00061170" w:rsidRDefault="00F17986" w:rsidP="00D820E1">
      <w:pPr>
        <w:jc w:val="both"/>
      </w:pPr>
    </w:p>
    <w:p w:rsidR="00575423" w:rsidRPr="00061170" w:rsidRDefault="00575423" w:rsidP="00575423">
      <w:pPr>
        <w:ind w:left="142"/>
        <w:jc w:val="both"/>
      </w:pPr>
      <w:r w:rsidRPr="00061170">
        <w:t xml:space="preserve">        1. Allgemeines zu § 24 Abs. 3 SGB II</w:t>
      </w:r>
    </w:p>
    <w:p w:rsidR="00F17986" w:rsidRPr="00061170" w:rsidRDefault="00F17986" w:rsidP="00D820E1">
      <w:pPr>
        <w:jc w:val="both"/>
      </w:pPr>
    </w:p>
    <w:p w:rsidR="00872561" w:rsidRPr="00061170" w:rsidRDefault="001F3035" w:rsidP="001F3035">
      <w:pPr>
        <w:ind w:left="142"/>
        <w:jc w:val="both"/>
      </w:pPr>
      <w:r w:rsidRPr="00061170">
        <w:t xml:space="preserve">        2.</w:t>
      </w:r>
      <w:r w:rsidR="00EF4EB9" w:rsidRPr="00061170">
        <w:t xml:space="preserve"> </w:t>
      </w:r>
      <w:r w:rsidRPr="00061170">
        <w:t>Erstausstattungen für die Wohnung einschließlich Haushaltsgeräten</w:t>
      </w:r>
    </w:p>
    <w:p w:rsidR="001F3035" w:rsidRPr="00061170" w:rsidRDefault="00872561" w:rsidP="001F3035">
      <w:pPr>
        <w:ind w:left="142"/>
        <w:jc w:val="both"/>
      </w:pPr>
      <w:r w:rsidRPr="00061170">
        <w:t xml:space="preserve">          </w:t>
      </w:r>
      <w:r w:rsidR="00644E2C" w:rsidRPr="00061170">
        <w:t xml:space="preserve"> </w:t>
      </w:r>
      <w:r w:rsidR="001F3035" w:rsidRPr="00061170">
        <w:t xml:space="preserve"> (§ 24 Abs. 3 </w:t>
      </w:r>
      <w:r w:rsidRPr="00061170">
        <w:t xml:space="preserve">  </w:t>
      </w:r>
      <w:r w:rsidR="001F3035" w:rsidRPr="00061170">
        <w:t xml:space="preserve">Satz 1 Nr. 1 SGB II) </w:t>
      </w:r>
    </w:p>
    <w:p w:rsidR="00577480" w:rsidRPr="00061170" w:rsidRDefault="00577480" w:rsidP="00577480">
      <w:pPr>
        <w:jc w:val="both"/>
        <w:rPr>
          <w:b/>
          <w:sz w:val="24"/>
          <w:szCs w:val="24"/>
        </w:rPr>
      </w:pPr>
    </w:p>
    <w:p w:rsidR="00577480" w:rsidRPr="00061170" w:rsidRDefault="00577480" w:rsidP="00577480">
      <w:pPr>
        <w:jc w:val="both"/>
      </w:pPr>
      <w:r w:rsidRPr="00061170">
        <w:t xml:space="preserve">           3. Erstausstattungen für Bekleidung und Erstausstattungen bei </w:t>
      </w:r>
    </w:p>
    <w:p w:rsidR="00577480" w:rsidRPr="00061170" w:rsidRDefault="00577480" w:rsidP="00577480">
      <w:pPr>
        <w:jc w:val="both"/>
      </w:pPr>
      <w:r w:rsidRPr="00061170">
        <w:t xml:space="preserve">           </w:t>
      </w:r>
      <w:r w:rsidR="009732F7" w:rsidRPr="00061170">
        <w:t xml:space="preserve">    </w:t>
      </w:r>
      <w:r w:rsidRPr="00061170">
        <w:t xml:space="preserve">Schwangerschaft und  Geburt (§ 24 Abs. </w:t>
      </w:r>
      <w:r w:rsidR="0058298C" w:rsidRPr="00061170">
        <w:t>3</w:t>
      </w:r>
      <w:r w:rsidRPr="00061170">
        <w:t xml:space="preserve"> Satz 1 Nr. 2 SGB II)</w:t>
      </w:r>
    </w:p>
    <w:p w:rsidR="001F3035" w:rsidRPr="00061170" w:rsidRDefault="009732F7" w:rsidP="00D820E1">
      <w:pPr>
        <w:jc w:val="both"/>
      </w:pPr>
      <w:r w:rsidRPr="00061170">
        <w:t xml:space="preserve">    </w:t>
      </w:r>
    </w:p>
    <w:p w:rsidR="009732F7" w:rsidRPr="00061170" w:rsidRDefault="009732F7" w:rsidP="00D820E1">
      <w:pPr>
        <w:jc w:val="both"/>
      </w:pPr>
      <w:r w:rsidRPr="00061170">
        <w:t xml:space="preserve">            3.1 Erstausstattungen für Bekleidung</w:t>
      </w:r>
    </w:p>
    <w:p w:rsidR="005B5175" w:rsidRPr="00061170" w:rsidRDefault="005B5175" w:rsidP="00D820E1">
      <w:pPr>
        <w:jc w:val="both"/>
      </w:pPr>
      <w:r w:rsidRPr="00061170">
        <w:t xml:space="preserve">            3.2 Erstausstattungen bei Schwangerschaft</w:t>
      </w:r>
    </w:p>
    <w:p w:rsidR="001B3AAB" w:rsidRPr="00061170" w:rsidRDefault="001B3AAB" w:rsidP="00D820E1">
      <w:pPr>
        <w:jc w:val="both"/>
      </w:pPr>
      <w:r w:rsidRPr="00061170">
        <w:t xml:space="preserve">            3.3 Erstausstattungen bei Geburt</w:t>
      </w:r>
    </w:p>
    <w:p w:rsidR="006627B1" w:rsidRPr="00061170" w:rsidRDefault="00B27213" w:rsidP="00E72511">
      <w:pPr>
        <w:jc w:val="both"/>
      </w:pPr>
      <w:r w:rsidRPr="00061170">
        <w:t xml:space="preserve">            </w:t>
      </w:r>
      <w:r w:rsidR="005B5175" w:rsidRPr="00061170">
        <w:t xml:space="preserve">         </w:t>
      </w:r>
    </w:p>
    <w:p w:rsidR="00BA0C3D" w:rsidRPr="00061170" w:rsidRDefault="00BA0C3D" w:rsidP="00D820E1">
      <w:pPr>
        <w:jc w:val="both"/>
      </w:pPr>
    </w:p>
    <w:p w:rsidR="000149A7" w:rsidRPr="00061170" w:rsidRDefault="000149A7" w:rsidP="00E5033E">
      <w:pPr>
        <w:pStyle w:val="Listenabsatz"/>
        <w:numPr>
          <w:ilvl w:val="0"/>
          <w:numId w:val="6"/>
        </w:numPr>
        <w:jc w:val="both"/>
        <w:rPr>
          <w:b/>
          <w:sz w:val="24"/>
          <w:szCs w:val="24"/>
        </w:rPr>
      </w:pPr>
      <w:r w:rsidRPr="00061170">
        <w:rPr>
          <w:b/>
          <w:sz w:val="24"/>
          <w:szCs w:val="24"/>
        </w:rPr>
        <w:lastRenderedPageBreak/>
        <w:t>Bedarfe für Bildung und Teilhabe nach § 28 SGB II</w:t>
      </w:r>
    </w:p>
    <w:p w:rsidR="00BA0C3D" w:rsidRPr="00061170" w:rsidRDefault="00BA0C3D" w:rsidP="00D820E1">
      <w:pPr>
        <w:jc w:val="both"/>
      </w:pPr>
    </w:p>
    <w:p w:rsidR="00BA0C3D" w:rsidRPr="002D06B2" w:rsidRDefault="00D740B0" w:rsidP="00E5033E">
      <w:pPr>
        <w:pStyle w:val="Listenabsatz"/>
        <w:numPr>
          <w:ilvl w:val="0"/>
          <w:numId w:val="12"/>
        </w:numPr>
        <w:jc w:val="both"/>
        <w:rPr>
          <w:color w:val="00B050"/>
        </w:rPr>
      </w:pPr>
      <w:r w:rsidRPr="002D06B2">
        <w:rPr>
          <w:color w:val="00B050"/>
        </w:rPr>
        <w:t>Allgemeines</w:t>
      </w:r>
    </w:p>
    <w:p w:rsidR="00FB6E8B" w:rsidRPr="00061170" w:rsidRDefault="00FB6E8B" w:rsidP="00FB6E8B">
      <w:pPr>
        <w:ind w:left="780"/>
        <w:jc w:val="both"/>
      </w:pPr>
    </w:p>
    <w:p w:rsidR="00042BF6" w:rsidRPr="002D06B2" w:rsidRDefault="00AE041C" w:rsidP="00E5033E">
      <w:pPr>
        <w:pStyle w:val="Listenabsatz"/>
        <w:numPr>
          <w:ilvl w:val="1"/>
          <w:numId w:val="12"/>
        </w:numPr>
        <w:jc w:val="both"/>
        <w:rPr>
          <w:color w:val="00B050"/>
        </w:rPr>
      </w:pPr>
      <w:r w:rsidRPr="002D06B2">
        <w:rPr>
          <w:color w:val="00B050"/>
        </w:rPr>
        <w:t>Antragstellung</w:t>
      </w:r>
    </w:p>
    <w:p w:rsidR="00AE041C" w:rsidRPr="00061170" w:rsidRDefault="00AE041C" w:rsidP="00E5033E">
      <w:pPr>
        <w:pStyle w:val="Listenabsatz"/>
        <w:numPr>
          <w:ilvl w:val="1"/>
          <w:numId w:val="12"/>
        </w:numPr>
        <w:jc w:val="both"/>
      </w:pPr>
      <w:r w:rsidRPr="00061170">
        <w:t>Erbringung der Leistung</w:t>
      </w:r>
    </w:p>
    <w:p w:rsidR="00AE041C" w:rsidRPr="00061170" w:rsidRDefault="00AE041C" w:rsidP="00E5033E">
      <w:pPr>
        <w:pStyle w:val="Listenabsatz"/>
        <w:numPr>
          <w:ilvl w:val="1"/>
          <w:numId w:val="12"/>
        </w:numPr>
        <w:jc w:val="both"/>
      </w:pPr>
      <w:r w:rsidRPr="00061170">
        <w:t>Beratungspflicht</w:t>
      </w:r>
    </w:p>
    <w:p w:rsidR="00AE041C" w:rsidRPr="00061170" w:rsidRDefault="00AE041C" w:rsidP="00E5033E">
      <w:pPr>
        <w:pStyle w:val="Listenabsatz"/>
        <w:numPr>
          <w:ilvl w:val="1"/>
          <w:numId w:val="12"/>
        </w:numPr>
        <w:jc w:val="both"/>
      </w:pPr>
      <w:r w:rsidRPr="00061170">
        <w:t>Bewilligungszeitraum</w:t>
      </w:r>
    </w:p>
    <w:p w:rsidR="00FB6E8B" w:rsidRPr="00061170" w:rsidRDefault="00FB6E8B" w:rsidP="00FB6E8B">
      <w:pPr>
        <w:ind w:left="900"/>
        <w:jc w:val="both"/>
      </w:pPr>
    </w:p>
    <w:p w:rsidR="00D740B0" w:rsidRPr="00527E35" w:rsidRDefault="00D740B0" w:rsidP="00E5033E">
      <w:pPr>
        <w:pStyle w:val="Listenabsatz"/>
        <w:numPr>
          <w:ilvl w:val="0"/>
          <w:numId w:val="12"/>
        </w:numPr>
        <w:jc w:val="both"/>
        <w:rPr>
          <w:color w:val="00B050"/>
        </w:rPr>
      </w:pPr>
      <w:r w:rsidRPr="00527E35">
        <w:rPr>
          <w:color w:val="00B050"/>
        </w:rPr>
        <w:t>Schulausflüge und mehrtägige Klassenfahren</w:t>
      </w:r>
    </w:p>
    <w:p w:rsidR="00FB6E8B" w:rsidRPr="00061170" w:rsidRDefault="00FB6E8B" w:rsidP="00FB6E8B">
      <w:pPr>
        <w:ind w:left="780"/>
        <w:jc w:val="both"/>
      </w:pPr>
    </w:p>
    <w:p w:rsidR="00D740B0" w:rsidRPr="00527E35" w:rsidRDefault="00D740B0" w:rsidP="00E5033E">
      <w:pPr>
        <w:pStyle w:val="Listenabsatz"/>
        <w:numPr>
          <w:ilvl w:val="0"/>
          <w:numId w:val="12"/>
        </w:numPr>
        <w:jc w:val="both"/>
        <w:rPr>
          <w:color w:val="00B050"/>
        </w:rPr>
      </w:pPr>
      <w:r w:rsidRPr="00527E35">
        <w:rPr>
          <w:color w:val="00B050"/>
        </w:rPr>
        <w:t>Schulbedarf</w:t>
      </w:r>
    </w:p>
    <w:p w:rsidR="00FB6E8B" w:rsidRPr="00061170" w:rsidRDefault="00FB6E8B" w:rsidP="00FB6E8B">
      <w:pPr>
        <w:pStyle w:val="Listenabsatz"/>
      </w:pPr>
    </w:p>
    <w:p w:rsidR="00D740B0" w:rsidRPr="00061170" w:rsidRDefault="00D740B0" w:rsidP="00E5033E">
      <w:pPr>
        <w:pStyle w:val="Listenabsatz"/>
        <w:numPr>
          <w:ilvl w:val="0"/>
          <w:numId w:val="12"/>
        </w:numPr>
        <w:jc w:val="both"/>
      </w:pPr>
      <w:r w:rsidRPr="00061170">
        <w:t>Schülerbeförderung</w:t>
      </w:r>
    </w:p>
    <w:p w:rsidR="00FB6E8B" w:rsidRPr="00061170" w:rsidRDefault="00FB6E8B" w:rsidP="00FB6E8B">
      <w:pPr>
        <w:pStyle w:val="Listenabsatz"/>
      </w:pPr>
    </w:p>
    <w:p w:rsidR="00D740B0" w:rsidRPr="00061170" w:rsidRDefault="00D740B0" w:rsidP="00E5033E">
      <w:pPr>
        <w:pStyle w:val="Listenabsatz"/>
        <w:numPr>
          <w:ilvl w:val="0"/>
          <w:numId w:val="12"/>
        </w:numPr>
        <w:jc w:val="both"/>
      </w:pPr>
      <w:r w:rsidRPr="00061170">
        <w:t>Lernförderung</w:t>
      </w:r>
    </w:p>
    <w:p w:rsidR="00FB6E8B" w:rsidRPr="00061170" w:rsidRDefault="00FB6E8B" w:rsidP="00FB6E8B">
      <w:pPr>
        <w:pStyle w:val="Listenabsatz"/>
      </w:pPr>
    </w:p>
    <w:p w:rsidR="00D740B0" w:rsidRPr="00061170" w:rsidRDefault="00D740B0" w:rsidP="00E5033E">
      <w:pPr>
        <w:pStyle w:val="Listenabsatz"/>
        <w:numPr>
          <w:ilvl w:val="0"/>
          <w:numId w:val="12"/>
        </w:numPr>
        <w:jc w:val="both"/>
      </w:pPr>
      <w:r w:rsidRPr="00061170">
        <w:t>gemeinschaftliche Mittagsverpflegung</w:t>
      </w:r>
    </w:p>
    <w:p w:rsidR="00FB6E8B" w:rsidRPr="00061170" w:rsidRDefault="00FB6E8B" w:rsidP="00FB6E8B">
      <w:pPr>
        <w:pStyle w:val="Listenabsatz"/>
      </w:pPr>
    </w:p>
    <w:p w:rsidR="00D740B0" w:rsidRPr="003D7A2C" w:rsidRDefault="00D740B0" w:rsidP="00E5033E">
      <w:pPr>
        <w:pStyle w:val="Listenabsatz"/>
        <w:numPr>
          <w:ilvl w:val="0"/>
          <w:numId w:val="12"/>
        </w:numPr>
        <w:jc w:val="both"/>
        <w:rPr>
          <w:color w:val="00B050"/>
        </w:rPr>
      </w:pPr>
      <w:r w:rsidRPr="003D7A2C">
        <w:rPr>
          <w:color w:val="00B050"/>
        </w:rPr>
        <w:t>Teilhabe am sozialen und kulturellen Leben</w:t>
      </w:r>
    </w:p>
    <w:p w:rsidR="009C408B" w:rsidRPr="00061170" w:rsidRDefault="009C408B" w:rsidP="009C408B">
      <w:pPr>
        <w:pStyle w:val="Listenabsatz"/>
      </w:pPr>
    </w:p>
    <w:p w:rsidR="00CB5E33" w:rsidRPr="00061170" w:rsidRDefault="00CB5E33" w:rsidP="009C408B">
      <w:pPr>
        <w:pStyle w:val="Listenabsatz"/>
      </w:pPr>
    </w:p>
    <w:p w:rsidR="00CB5E33" w:rsidRPr="00061170" w:rsidRDefault="00CB5E33" w:rsidP="009C408B">
      <w:pPr>
        <w:pStyle w:val="Listenabsatz"/>
      </w:pPr>
    </w:p>
    <w:p w:rsidR="009C408B" w:rsidRPr="00061170" w:rsidRDefault="009C408B" w:rsidP="009C408B">
      <w:pPr>
        <w:ind w:left="780"/>
        <w:jc w:val="both"/>
      </w:pPr>
    </w:p>
    <w:p w:rsidR="00CB5E33" w:rsidRPr="00061170" w:rsidRDefault="00CB5E33" w:rsidP="00CB5E33">
      <w:pPr>
        <w:ind w:left="360"/>
        <w:jc w:val="both"/>
        <w:rPr>
          <w:b/>
          <w:sz w:val="24"/>
          <w:szCs w:val="24"/>
        </w:rPr>
      </w:pPr>
      <w:r w:rsidRPr="00061170">
        <w:rPr>
          <w:b/>
          <w:sz w:val="24"/>
          <w:szCs w:val="24"/>
        </w:rPr>
        <w:t>Anlage</w:t>
      </w:r>
    </w:p>
    <w:p w:rsidR="00CB5E33" w:rsidRPr="00061170" w:rsidRDefault="00CB5E33" w:rsidP="00CB5E33">
      <w:pPr>
        <w:ind w:left="360"/>
        <w:jc w:val="both"/>
        <w:rPr>
          <w:b/>
          <w:sz w:val="24"/>
          <w:szCs w:val="24"/>
        </w:rPr>
      </w:pPr>
      <w:r w:rsidRPr="00061170">
        <w:rPr>
          <w:b/>
          <w:sz w:val="24"/>
          <w:szCs w:val="24"/>
        </w:rPr>
        <w:t>Angemessene Unterkunftskosten für vorangegangene Zeiträume</w:t>
      </w:r>
      <w:r w:rsidR="00D263B5" w:rsidRPr="00061170">
        <w:rPr>
          <w:b/>
          <w:sz w:val="24"/>
          <w:szCs w:val="24"/>
        </w:rPr>
        <w:t xml:space="preserve"> (ab 201</w:t>
      </w:r>
      <w:r w:rsidR="00315E68" w:rsidRPr="00061170">
        <w:rPr>
          <w:b/>
          <w:sz w:val="24"/>
          <w:szCs w:val="24"/>
        </w:rPr>
        <w:t>4</w:t>
      </w:r>
      <w:r w:rsidR="00D263B5" w:rsidRPr="00061170">
        <w:rPr>
          <w:b/>
          <w:sz w:val="24"/>
          <w:szCs w:val="24"/>
        </w:rPr>
        <w:t>)</w:t>
      </w:r>
    </w:p>
    <w:p w:rsidR="009C408B" w:rsidRPr="00061170"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E17C4A" w:rsidRPr="00993152" w:rsidRDefault="00E17C4A" w:rsidP="009C408B">
      <w:pPr>
        <w:ind w:left="780"/>
        <w:jc w:val="both"/>
      </w:pPr>
    </w:p>
    <w:p w:rsidR="00E17C4A" w:rsidRPr="00993152" w:rsidRDefault="00E17C4A" w:rsidP="009C408B">
      <w:pPr>
        <w:ind w:left="780"/>
        <w:jc w:val="both"/>
      </w:pPr>
    </w:p>
    <w:p w:rsidR="00E17C4A" w:rsidRPr="00993152" w:rsidRDefault="00E17C4A" w:rsidP="009C408B">
      <w:pPr>
        <w:ind w:left="780"/>
        <w:jc w:val="both"/>
      </w:pPr>
    </w:p>
    <w:p w:rsidR="00E17C4A" w:rsidRPr="00993152" w:rsidRDefault="00E17C4A" w:rsidP="009C408B">
      <w:pPr>
        <w:ind w:left="780"/>
        <w:jc w:val="both"/>
      </w:pPr>
    </w:p>
    <w:p w:rsidR="00E17C4A" w:rsidRPr="00993152" w:rsidRDefault="00E17C4A" w:rsidP="009C408B">
      <w:pPr>
        <w:ind w:left="780"/>
        <w:jc w:val="both"/>
      </w:pPr>
    </w:p>
    <w:p w:rsidR="00E17C4A" w:rsidRPr="00993152" w:rsidRDefault="00E17C4A" w:rsidP="009C408B">
      <w:pPr>
        <w:ind w:left="780"/>
        <w:jc w:val="both"/>
      </w:pPr>
    </w:p>
    <w:p w:rsidR="00E17C4A" w:rsidRPr="00993152" w:rsidRDefault="00E17C4A" w:rsidP="009C408B">
      <w:pPr>
        <w:ind w:left="780"/>
        <w:jc w:val="both"/>
      </w:pPr>
    </w:p>
    <w:p w:rsidR="00E17C4A" w:rsidRPr="00993152" w:rsidRDefault="00E17C4A" w:rsidP="009C408B">
      <w:pPr>
        <w:ind w:left="780"/>
        <w:jc w:val="both"/>
      </w:pPr>
    </w:p>
    <w:p w:rsidR="009C408B" w:rsidRDefault="009C408B" w:rsidP="009C408B">
      <w:pPr>
        <w:ind w:left="780"/>
        <w:jc w:val="both"/>
      </w:pPr>
    </w:p>
    <w:p w:rsidR="00CE17AD" w:rsidRDefault="00CE17AD" w:rsidP="009C408B">
      <w:pPr>
        <w:ind w:left="780"/>
        <w:jc w:val="both"/>
      </w:pPr>
    </w:p>
    <w:p w:rsidR="006627B1" w:rsidRDefault="006627B1" w:rsidP="009C408B">
      <w:pPr>
        <w:ind w:left="780"/>
        <w:jc w:val="both"/>
      </w:pPr>
    </w:p>
    <w:p w:rsidR="00CE17AD" w:rsidRPr="00993152" w:rsidRDefault="00CE17AD" w:rsidP="009C408B">
      <w:pPr>
        <w:ind w:left="780"/>
        <w:jc w:val="both"/>
      </w:pPr>
    </w:p>
    <w:p w:rsidR="009C408B" w:rsidRPr="00993152" w:rsidRDefault="009C408B" w:rsidP="009C408B">
      <w:pPr>
        <w:ind w:left="780"/>
        <w:jc w:val="both"/>
      </w:pPr>
    </w:p>
    <w:p w:rsidR="009C408B" w:rsidRPr="00993152" w:rsidRDefault="009C408B" w:rsidP="009C408B">
      <w:pPr>
        <w:ind w:left="780"/>
        <w:jc w:val="both"/>
      </w:pPr>
    </w:p>
    <w:p w:rsidR="00BF2F82" w:rsidRPr="00993152" w:rsidRDefault="00C12CCD" w:rsidP="003F22C2">
      <w:pPr>
        <w:pStyle w:val="berschrift1"/>
      </w:pPr>
      <w:r w:rsidRPr="00993152">
        <w:lastRenderedPageBreak/>
        <w:t>Bedarfe für Unterkunft und Heizung</w:t>
      </w:r>
    </w:p>
    <w:p w:rsidR="00C12CCD" w:rsidRPr="00993152" w:rsidRDefault="00BF2F82" w:rsidP="00BF2F82">
      <w:pPr>
        <w:pStyle w:val="berschrift1"/>
        <w:numPr>
          <w:ilvl w:val="0"/>
          <w:numId w:val="0"/>
        </w:numPr>
      </w:pPr>
      <w:r w:rsidRPr="00993152">
        <w:t xml:space="preserve">        </w:t>
      </w:r>
      <w:r w:rsidR="00C01760" w:rsidRPr="00993152">
        <w:t xml:space="preserve"> (§</w:t>
      </w:r>
      <w:r w:rsidRPr="00993152">
        <w:t xml:space="preserve"> </w:t>
      </w:r>
      <w:r w:rsidR="00C01760" w:rsidRPr="00993152">
        <w:t>22 SGB II)</w:t>
      </w:r>
    </w:p>
    <w:p w:rsidR="00CB6A77" w:rsidRPr="00993152" w:rsidRDefault="00CB6A77" w:rsidP="00CB6A77">
      <w:pPr>
        <w:ind w:left="360"/>
        <w:jc w:val="both"/>
        <w:rPr>
          <w:sz w:val="28"/>
          <w:szCs w:val="28"/>
        </w:rPr>
      </w:pPr>
    </w:p>
    <w:p w:rsidR="00DE00DB" w:rsidRPr="00993152" w:rsidRDefault="00DE00DB" w:rsidP="00CB6A77">
      <w:pPr>
        <w:ind w:left="360"/>
        <w:jc w:val="both"/>
        <w:rPr>
          <w:sz w:val="28"/>
          <w:szCs w:val="28"/>
        </w:rPr>
      </w:pPr>
    </w:p>
    <w:p w:rsidR="00CB6A77" w:rsidRPr="003B27AD" w:rsidRDefault="00CB6A77" w:rsidP="00E5033E">
      <w:pPr>
        <w:pStyle w:val="berschrift1"/>
        <w:numPr>
          <w:ilvl w:val="0"/>
          <w:numId w:val="19"/>
        </w:numPr>
        <w:ind w:left="567" w:hanging="567"/>
        <w:rPr>
          <w:color w:val="00B050"/>
          <w:sz w:val="24"/>
          <w:szCs w:val="24"/>
        </w:rPr>
      </w:pPr>
      <w:r w:rsidRPr="003B27AD">
        <w:rPr>
          <w:color w:val="00B050"/>
          <w:sz w:val="24"/>
          <w:szCs w:val="24"/>
        </w:rPr>
        <w:t>Allgemeines zu § 22 Abs. 1 SGB II</w:t>
      </w:r>
    </w:p>
    <w:p w:rsidR="000F0AF9" w:rsidRPr="00993152" w:rsidRDefault="000F0AF9" w:rsidP="000F0AF9">
      <w:pPr>
        <w:jc w:val="both"/>
        <w:rPr>
          <w:sz w:val="24"/>
          <w:szCs w:val="24"/>
        </w:rPr>
      </w:pPr>
    </w:p>
    <w:p w:rsidR="000F0AF9" w:rsidRDefault="000F0AF9" w:rsidP="00F45E53">
      <w:pPr>
        <w:ind w:left="142"/>
        <w:jc w:val="both"/>
      </w:pPr>
      <w:r w:rsidRPr="00993152">
        <w:t xml:space="preserve">Unterkunftskosten (KdU) können aus einem </w:t>
      </w:r>
      <w:r w:rsidRPr="009B40B3">
        <w:rPr>
          <w:b/>
        </w:rPr>
        <w:t>Mietverhältnis</w:t>
      </w:r>
      <w:r w:rsidRPr="00993152">
        <w:t xml:space="preserve"> oder aus selbst bewohntem </w:t>
      </w:r>
      <w:r w:rsidRPr="009B40B3">
        <w:rPr>
          <w:b/>
        </w:rPr>
        <w:t>Eigentum</w:t>
      </w:r>
      <w:r w:rsidRPr="00993152">
        <w:t xml:space="preserve"> entstehen.</w:t>
      </w:r>
    </w:p>
    <w:p w:rsidR="009B40B3" w:rsidRDefault="009B40B3" w:rsidP="00F45E53">
      <w:pPr>
        <w:ind w:left="142"/>
        <w:jc w:val="both"/>
      </w:pPr>
    </w:p>
    <w:p w:rsidR="009B40B3" w:rsidRDefault="009B40B3" w:rsidP="009B40B3">
      <w:pPr>
        <w:jc w:val="both"/>
      </w:pPr>
      <w:r w:rsidRPr="00993152">
        <w:rPr>
          <w:lang w:val="en-US"/>
        </w:rPr>
        <w:t xml:space="preserve">   </w:t>
      </w:r>
      <w:r w:rsidRPr="00993152">
        <w:t xml:space="preserve">Bestehen </w:t>
      </w:r>
      <w:r w:rsidRPr="00993152">
        <w:rPr>
          <w:u w:val="single"/>
        </w:rPr>
        <w:t>wirksame</w:t>
      </w:r>
      <w:r w:rsidRPr="00993152">
        <w:t xml:space="preserve"> </w:t>
      </w:r>
      <w:r w:rsidRPr="009B40B3">
        <w:rPr>
          <w:b/>
        </w:rPr>
        <w:t>Untermietverhältnisse</w:t>
      </w:r>
      <w:r w:rsidRPr="00993152">
        <w:t xml:space="preserve"> und sonst rechtlich verbindliche Regelungen, </w:t>
      </w:r>
    </w:p>
    <w:p w:rsidR="009B40B3" w:rsidRPr="00993152" w:rsidRDefault="009B40B3" w:rsidP="009B40B3">
      <w:pPr>
        <w:jc w:val="both"/>
      </w:pPr>
      <w:r>
        <w:t xml:space="preserve">   </w:t>
      </w:r>
      <w:r w:rsidRPr="00993152">
        <w:t xml:space="preserve">z. B. in eigener abgeschlossener Wohnung eines über 25jährigen im Haus der Eltern, sind </w:t>
      </w:r>
    </w:p>
    <w:p w:rsidR="009B40B3" w:rsidRDefault="009B40B3" w:rsidP="009B40B3">
      <w:pPr>
        <w:jc w:val="both"/>
      </w:pPr>
      <w:r w:rsidRPr="00993152">
        <w:t xml:space="preserve">   diese    maßgeblich (vgl. BSG 07.05.2009 – B 14 AS 31/07 R-).</w:t>
      </w:r>
    </w:p>
    <w:p w:rsidR="00BD7007" w:rsidRDefault="00BD7007" w:rsidP="009B40B3">
      <w:pPr>
        <w:jc w:val="both"/>
      </w:pPr>
    </w:p>
    <w:p w:rsidR="00BD7007" w:rsidRPr="003A5269" w:rsidRDefault="00BD7007" w:rsidP="009B40B3">
      <w:pPr>
        <w:jc w:val="both"/>
      </w:pPr>
      <w:r w:rsidRPr="003A5269">
        <w:t xml:space="preserve">   Einnahmen aus Untervermietung führen zur Verringerung des KdU-Bedarfes (vgl.  </w:t>
      </w:r>
    </w:p>
    <w:p w:rsidR="00BD7007" w:rsidRDefault="00BD7007" w:rsidP="009B40B3">
      <w:pPr>
        <w:jc w:val="both"/>
      </w:pPr>
      <w:r w:rsidRPr="003A5269">
        <w:t xml:space="preserve">   BSG 06.08.2014 – B 4 AS 37/13 R-). </w:t>
      </w:r>
    </w:p>
    <w:p w:rsidR="00061170" w:rsidRPr="00061170" w:rsidRDefault="00061170" w:rsidP="009B40B3">
      <w:pPr>
        <w:jc w:val="both"/>
        <w:rPr>
          <w:color w:val="00B050"/>
        </w:rPr>
      </w:pPr>
      <w:r>
        <w:t xml:space="preserve">   </w:t>
      </w:r>
      <w:r w:rsidRPr="00061170">
        <w:rPr>
          <w:color w:val="00B050"/>
        </w:rPr>
        <w:t xml:space="preserve">Ein eventueller die tatsächlichen Aufwendungen für die KdU übersteigender Ertrag aus der    </w:t>
      </w:r>
    </w:p>
    <w:p w:rsidR="00061170" w:rsidRPr="00061170" w:rsidRDefault="00061170" w:rsidP="009B40B3">
      <w:pPr>
        <w:jc w:val="both"/>
        <w:rPr>
          <w:color w:val="00B050"/>
        </w:rPr>
      </w:pPr>
      <w:r w:rsidRPr="00061170">
        <w:rPr>
          <w:color w:val="00B050"/>
        </w:rPr>
        <w:t xml:space="preserve">   Untervermietung ist als Einkommen nach § 11 SGB II zu berücksichtigen. Denn dieser Teil </w:t>
      </w:r>
    </w:p>
    <w:p w:rsidR="00061170" w:rsidRPr="00061170" w:rsidRDefault="00061170" w:rsidP="009B40B3">
      <w:pPr>
        <w:jc w:val="both"/>
        <w:rPr>
          <w:color w:val="00B050"/>
        </w:rPr>
      </w:pPr>
      <w:r w:rsidRPr="00061170">
        <w:rPr>
          <w:color w:val="00B050"/>
        </w:rPr>
        <w:t xml:space="preserve">   des Ertrages dient nicht mehr der Senkung der KdU, sondern der Einkommenserzielung</w:t>
      </w:r>
    </w:p>
    <w:p w:rsidR="00061170" w:rsidRPr="00061170" w:rsidRDefault="00061170" w:rsidP="009B40B3">
      <w:pPr>
        <w:jc w:val="both"/>
        <w:rPr>
          <w:color w:val="00B050"/>
        </w:rPr>
      </w:pPr>
      <w:r w:rsidRPr="00061170">
        <w:rPr>
          <w:color w:val="00B050"/>
        </w:rPr>
        <w:t xml:space="preserve">   (vgl. StMAS Bayern, Schreiben vom </w:t>
      </w:r>
      <w:r w:rsidR="0012351F">
        <w:rPr>
          <w:color w:val="00B050"/>
        </w:rPr>
        <w:t>25.07</w:t>
      </w:r>
      <w:r w:rsidRPr="00061170">
        <w:rPr>
          <w:color w:val="00B050"/>
        </w:rPr>
        <w:t>.2016 Az: I 3/6074.04-1/314).</w:t>
      </w:r>
    </w:p>
    <w:p w:rsidR="009B40B3" w:rsidRPr="003A5269" w:rsidRDefault="009B40B3" w:rsidP="009B40B3">
      <w:pPr>
        <w:jc w:val="both"/>
      </w:pPr>
    </w:p>
    <w:p w:rsidR="009B40B3" w:rsidRPr="003A5269" w:rsidRDefault="009B40B3" w:rsidP="009B40B3">
      <w:pPr>
        <w:jc w:val="both"/>
      </w:pPr>
      <w:r w:rsidRPr="003A5269">
        <w:t xml:space="preserve">   Bei </w:t>
      </w:r>
      <w:r w:rsidRPr="003A5269">
        <w:rPr>
          <w:b/>
        </w:rPr>
        <w:t>zeitweisen Bedarfsgemeinschaften</w:t>
      </w:r>
      <w:r w:rsidRPr="003A5269">
        <w:t xml:space="preserve"> (wechselnder Aufenthalt von Kindern in den  </w:t>
      </w:r>
    </w:p>
    <w:p w:rsidR="009B40B3" w:rsidRPr="003A5269" w:rsidRDefault="009B40B3" w:rsidP="009B40B3">
      <w:pPr>
        <w:jc w:val="both"/>
      </w:pPr>
      <w:r w:rsidRPr="003A5269">
        <w:t xml:space="preserve">   Haushalten der Eltern) kommt eine Erhöhung des Richtwertes KdU nur dann in Betracht, </w:t>
      </w:r>
    </w:p>
    <w:p w:rsidR="009B40B3" w:rsidRPr="003A5269" w:rsidRDefault="009B40B3" w:rsidP="009B40B3">
      <w:pPr>
        <w:jc w:val="both"/>
      </w:pPr>
      <w:r w:rsidRPr="003A5269">
        <w:t xml:space="preserve">   wenn das Kind </w:t>
      </w:r>
      <w:r w:rsidRPr="003A5269">
        <w:rPr>
          <w:u w:val="single"/>
        </w:rPr>
        <w:t>überwiegend</w:t>
      </w:r>
      <w:r w:rsidRPr="003A5269">
        <w:t xml:space="preserve"> in der </w:t>
      </w:r>
      <w:r w:rsidR="00790F5E" w:rsidRPr="003A5269">
        <w:t>Bedarfsgemeinschaft (</w:t>
      </w:r>
      <w:r w:rsidRPr="003A5269">
        <w:t>BG</w:t>
      </w:r>
      <w:r w:rsidR="00790F5E" w:rsidRPr="003A5269">
        <w:t>)</w:t>
      </w:r>
      <w:r w:rsidRPr="003A5269">
        <w:t xml:space="preserve"> lebt. </w:t>
      </w:r>
    </w:p>
    <w:p w:rsidR="001543E8" w:rsidRPr="003A5269" w:rsidRDefault="001543E8" w:rsidP="009B40B3">
      <w:pPr>
        <w:jc w:val="both"/>
      </w:pPr>
    </w:p>
    <w:p w:rsidR="001543E8" w:rsidRPr="003A5269" w:rsidRDefault="001543E8" w:rsidP="00E50CAD">
      <w:pPr>
        <w:ind w:left="142"/>
        <w:jc w:val="both"/>
      </w:pPr>
      <w:r w:rsidRPr="003A5269">
        <w:t xml:space="preserve">Die Ausübung des Umgangsrechts führt nicht zu einer </w:t>
      </w:r>
      <w:r w:rsidRPr="003A5269">
        <w:rPr>
          <w:u w:val="single"/>
        </w:rPr>
        <w:t xml:space="preserve">pauschalen </w:t>
      </w:r>
      <w:r w:rsidRPr="003A5269">
        <w:t>Aufstockung auf die</w:t>
      </w:r>
    </w:p>
    <w:p w:rsidR="00D7735C" w:rsidRPr="003A5269" w:rsidRDefault="001543E8" w:rsidP="00E50CAD">
      <w:pPr>
        <w:ind w:left="142"/>
        <w:jc w:val="both"/>
        <w:rPr>
          <w:rFonts w:cs="Arial"/>
        </w:rPr>
      </w:pPr>
      <w:r w:rsidRPr="003A5269">
        <w:t xml:space="preserve">nächsthöhere Wohnflächenstufe (vgl. BSG 07.11.2006 – B 7b AS 14/06 R). </w:t>
      </w:r>
      <w:r w:rsidR="00D7735C" w:rsidRPr="003A5269">
        <w:rPr>
          <w:rFonts w:cs="Arial"/>
          <w:bCs/>
        </w:rPr>
        <w:t xml:space="preserve">Ein höherer Wohnraumbedarf und damit auch eine Erhöhung des Richtwertes KdU kommen z.B. bei der Berücksichtigung von </w:t>
      </w:r>
      <w:r w:rsidR="00D7735C" w:rsidRPr="003A5269">
        <w:rPr>
          <w:rFonts w:cs="Arial"/>
          <w:b/>
          <w:bCs/>
        </w:rPr>
        <w:t>„Besuchskinder“</w:t>
      </w:r>
      <w:r w:rsidR="00D7735C" w:rsidRPr="003A5269">
        <w:rPr>
          <w:rFonts w:cs="Arial"/>
          <w:bCs/>
        </w:rPr>
        <w:t xml:space="preserve"> in Betracht. Zwar erhöht sich der Raumbedarf  für jedes Kind des Leistungsberechtigten (LB) auf je 15 qm. Dies gilt aber nur dann, wenn die Kinder </w:t>
      </w:r>
      <w:r w:rsidR="00D7735C" w:rsidRPr="003A5269">
        <w:rPr>
          <w:rFonts w:cs="Arial"/>
          <w:b/>
          <w:bCs/>
        </w:rPr>
        <w:t>dauerhaft (oder zumindest überwiegend)</w:t>
      </w:r>
      <w:r w:rsidR="00D7735C" w:rsidRPr="003A5269">
        <w:rPr>
          <w:rFonts w:cs="Arial"/>
          <w:bCs/>
        </w:rPr>
        <w:t xml:space="preserve"> im Haushalt leben. Ist dies nicht der Fall, weil der LB nur im Rahmen seines </w:t>
      </w:r>
      <w:r w:rsidR="00D7735C" w:rsidRPr="003A5269">
        <w:rPr>
          <w:rFonts w:cs="Arial"/>
          <w:b/>
          <w:bCs/>
        </w:rPr>
        <w:t xml:space="preserve">Umgangsrechts </w:t>
      </w:r>
      <w:r w:rsidR="00D7735C" w:rsidRPr="003A5269">
        <w:rPr>
          <w:rFonts w:cs="Arial"/>
          <w:bCs/>
        </w:rPr>
        <w:t>Besuch von seinen Kindern erhält, ist in einem solchen Fall  nicht von einem vollen, sondern nur von einem halben Raumbedarf pro Kind (7,5 qm) auszugehen, da staatliche Leistungen  die Ausübung des Umgangsrechts nur ermöglichen und nicht optimieren sollen (vgl. LSG Baden-Württemberg  27.05.2014 - L 3 AS 1895/14 ER-B -). Somit ist es</w:t>
      </w:r>
      <w:r w:rsidR="00546B39" w:rsidRPr="003A5269">
        <w:rPr>
          <w:rFonts w:cs="Arial"/>
          <w:bCs/>
        </w:rPr>
        <w:t xml:space="preserve"> z.B.</w:t>
      </w:r>
      <w:r w:rsidR="00D7735C" w:rsidRPr="003A5269">
        <w:rPr>
          <w:rFonts w:cs="Arial"/>
          <w:bCs/>
        </w:rPr>
        <w:t xml:space="preserve"> in Fällen</w:t>
      </w:r>
      <w:r w:rsidR="00546B39" w:rsidRPr="003A5269">
        <w:rPr>
          <w:rFonts w:cs="Arial"/>
          <w:bCs/>
        </w:rPr>
        <w:t xml:space="preserve"> mit 1 Besuchskind möglich, </w:t>
      </w:r>
      <w:r w:rsidR="00D7735C" w:rsidRPr="003A5269">
        <w:rPr>
          <w:rFonts w:cs="Arial"/>
          <w:bCs/>
        </w:rPr>
        <w:t xml:space="preserve"> bei der Bestimmung der angemessenen KdU, die Hälfte des Unterschiedsbetrages zur nächsten Person</w:t>
      </w:r>
      <w:r w:rsidR="00E93AED" w:rsidRPr="003A5269">
        <w:rPr>
          <w:rFonts w:cs="Arial"/>
          <w:bCs/>
        </w:rPr>
        <w:t>enzahl</w:t>
      </w:r>
      <w:r w:rsidR="00D7735C" w:rsidRPr="003A5269">
        <w:rPr>
          <w:rFonts w:cs="Arial"/>
          <w:bCs/>
        </w:rPr>
        <w:t xml:space="preserve"> aus der Grenzwerttabelle zu addieren. </w:t>
      </w:r>
    </w:p>
    <w:p w:rsidR="009B40B3" w:rsidRPr="00993152" w:rsidRDefault="009B40B3" w:rsidP="009B40B3">
      <w:pPr>
        <w:jc w:val="both"/>
      </w:pPr>
      <w:r w:rsidRPr="00993152">
        <w:t xml:space="preserve">   </w:t>
      </w:r>
    </w:p>
    <w:p w:rsidR="009B40B3" w:rsidRPr="00993152" w:rsidRDefault="009B40B3" w:rsidP="009B40B3">
      <w:r w:rsidRPr="00993152">
        <w:t xml:space="preserve">  Lebt der</w:t>
      </w:r>
      <w:r w:rsidR="00790F5E">
        <w:t xml:space="preserve"> Leistungsberechtigte (</w:t>
      </w:r>
      <w:r w:rsidRPr="00993152">
        <w:t>LB</w:t>
      </w:r>
      <w:r w:rsidR="00790F5E">
        <w:t>)</w:t>
      </w:r>
      <w:r w:rsidRPr="00993152">
        <w:t xml:space="preserve"> nicht in einer BG sondern in einer bloßen</w:t>
      </w:r>
    </w:p>
    <w:p w:rsidR="009B40B3" w:rsidRPr="00993152" w:rsidRDefault="009B40B3" w:rsidP="009B40B3">
      <w:r w:rsidRPr="00993152">
        <w:t xml:space="preserve">  </w:t>
      </w:r>
      <w:r w:rsidRPr="009B40B3">
        <w:rPr>
          <w:b/>
        </w:rPr>
        <w:t>Wohngemeinschaft</w:t>
      </w:r>
      <w:r w:rsidRPr="00993152">
        <w:t xml:space="preserve"> ist bei der Bestimmung der Angemessenheit auf ihn als Einzelperson  </w:t>
      </w:r>
    </w:p>
    <w:p w:rsidR="009B40B3" w:rsidRPr="00993152" w:rsidRDefault="009B40B3" w:rsidP="009B40B3">
      <w:r w:rsidRPr="00993152">
        <w:t xml:space="preserve">  abzustellen (vgl. BSG 18.6.2008 –B 14/11 b AS 61/06 R-).</w:t>
      </w:r>
    </w:p>
    <w:p w:rsidR="009B40B3" w:rsidRPr="00993152" w:rsidRDefault="009B40B3" w:rsidP="009B40B3">
      <w:pPr>
        <w:jc w:val="both"/>
      </w:pPr>
    </w:p>
    <w:p w:rsidR="009B40B3" w:rsidRDefault="009B40B3" w:rsidP="009B40B3">
      <w:pPr>
        <w:ind w:left="142" w:hanging="142"/>
        <w:jc w:val="both"/>
        <w:rPr>
          <w:rFonts w:cs="Arial"/>
        </w:rPr>
      </w:pPr>
      <w:r w:rsidRPr="00993152">
        <w:rPr>
          <w:rFonts w:cs="Arial"/>
        </w:rPr>
        <w:t xml:space="preserve">  KdU sind grundsätzlich immer nur für eine einzige Unterkunft anzuerkennen,    auch wenn der LB </w:t>
      </w:r>
      <w:r w:rsidRPr="009B40B3">
        <w:rPr>
          <w:rFonts w:cs="Arial"/>
          <w:b/>
        </w:rPr>
        <w:t>mehrere Unterkünfte</w:t>
      </w:r>
      <w:r w:rsidRPr="00993152">
        <w:rPr>
          <w:rFonts w:cs="Arial"/>
        </w:rPr>
        <w:t xml:space="preserve"> angemietet hat und rechtlich nutzen kann. Entscheidend ist dann die vorrangig tatsächlich genutzte Unterkunft.</w:t>
      </w:r>
    </w:p>
    <w:p w:rsidR="001C7144" w:rsidRDefault="001C7144" w:rsidP="009B40B3">
      <w:pPr>
        <w:ind w:left="142" w:hanging="142"/>
        <w:jc w:val="both"/>
        <w:rPr>
          <w:rFonts w:cs="Arial"/>
        </w:rPr>
      </w:pPr>
    </w:p>
    <w:p w:rsidR="001C7144" w:rsidRPr="00993152" w:rsidRDefault="001C7144" w:rsidP="009B40B3">
      <w:pPr>
        <w:ind w:left="142" w:hanging="142"/>
        <w:jc w:val="both"/>
        <w:rPr>
          <w:rFonts w:cs="Arial"/>
        </w:rPr>
      </w:pPr>
    </w:p>
    <w:p w:rsidR="009B40B3" w:rsidRPr="00993152" w:rsidRDefault="009B40B3" w:rsidP="009B40B3">
      <w:pPr>
        <w:ind w:left="142" w:hanging="142"/>
        <w:jc w:val="both"/>
        <w:rPr>
          <w:rFonts w:cs="Arial"/>
        </w:rPr>
      </w:pPr>
    </w:p>
    <w:p w:rsidR="009B40B3" w:rsidRDefault="009B40B3" w:rsidP="009B40B3">
      <w:pPr>
        <w:ind w:left="142" w:hanging="142"/>
        <w:jc w:val="both"/>
        <w:rPr>
          <w:rFonts w:cs="Arial"/>
        </w:rPr>
      </w:pPr>
      <w:r w:rsidRPr="00993152">
        <w:rPr>
          <w:rFonts w:cs="Arial"/>
        </w:rPr>
        <w:lastRenderedPageBreak/>
        <w:t xml:space="preserve">  </w:t>
      </w:r>
      <w:r w:rsidRPr="00993152">
        <w:rPr>
          <w:rFonts w:cs="Arial"/>
          <w:u w:val="single"/>
        </w:rPr>
        <w:t>Ausnahme:</w:t>
      </w:r>
      <w:r w:rsidRPr="00993152">
        <w:rPr>
          <w:rFonts w:cs="Arial"/>
        </w:rPr>
        <w:t xml:space="preserve"> Mietzeiträume können wegen der Kündigungsfristen oder notwendiger Renovierungsarbeiten nicht nahtlos aufeinander abgestimmt werden, obwohl der LB alles in seiner Macht stehende getan hat, um doppelte Aufwendungen zu vermeiden </w:t>
      </w:r>
      <w:r w:rsidRPr="003A5269">
        <w:rPr>
          <w:rFonts w:cs="Arial"/>
        </w:rPr>
        <w:t xml:space="preserve">(vgl. LSG </w:t>
      </w:r>
      <w:r w:rsidR="003250A6" w:rsidRPr="003A5269">
        <w:rPr>
          <w:rFonts w:cs="Arial"/>
        </w:rPr>
        <w:t>Nordrhein-Westfalen 23.</w:t>
      </w:r>
      <w:r w:rsidR="003A5770" w:rsidRPr="003A5269">
        <w:rPr>
          <w:rFonts w:cs="Arial"/>
        </w:rPr>
        <w:t>0</w:t>
      </w:r>
      <w:r w:rsidR="003250A6" w:rsidRPr="003A5269">
        <w:rPr>
          <w:rFonts w:cs="Arial"/>
        </w:rPr>
        <w:t>2.2010 – L 1 AS 42/08</w:t>
      </w:r>
      <w:r w:rsidRPr="003A5269">
        <w:rPr>
          <w:rFonts w:cs="Arial"/>
        </w:rPr>
        <w:t>-</w:t>
      </w:r>
      <w:r w:rsidR="003250A6" w:rsidRPr="003A5269">
        <w:rPr>
          <w:rFonts w:cs="Arial"/>
        </w:rPr>
        <w:t>)</w:t>
      </w:r>
      <w:r w:rsidRPr="003A5269">
        <w:rPr>
          <w:rFonts w:cs="Arial"/>
        </w:rPr>
        <w:t>.</w:t>
      </w:r>
    </w:p>
    <w:p w:rsidR="003B27AD" w:rsidRDefault="003B27AD" w:rsidP="009B40B3">
      <w:pPr>
        <w:ind w:left="142" w:hanging="142"/>
        <w:jc w:val="both"/>
        <w:rPr>
          <w:rFonts w:cs="Arial"/>
        </w:rPr>
      </w:pPr>
    </w:p>
    <w:p w:rsidR="003B27AD" w:rsidRPr="003B27AD" w:rsidRDefault="003B27AD" w:rsidP="009B40B3">
      <w:pPr>
        <w:ind w:left="142" w:hanging="142"/>
        <w:jc w:val="both"/>
        <w:rPr>
          <w:rFonts w:cs="Arial"/>
          <w:color w:val="00B050"/>
        </w:rPr>
      </w:pPr>
      <w:r>
        <w:rPr>
          <w:rFonts w:cs="Arial"/>
        </w:rPr>
        <w:t xml:space="preserve">  </w:t>
      </w:r>
      <w:r w:rsidRPr="003B27AD">
        <w:rPr>
          <w:rFonts w:cs="Arial"/>
          <w:b/>
          <w:color w:val="00B050"/>
        </w:rPr>
        <w:t>Inhaftierte</w:t>
      </w:r>
      <w:r w:rsidRPr="003B27AD">
        <w:rPr>
          <w:rFonts w:cs="Arial"/>
          <w:color w:val="00B050"/>
        </w:rPr>
        <w:t xml:space="preserve"> unterliegen dem Leistungsausschluss nach § 7 Abs. 4 Satz 1 SGB II und können daher keine Leistungen für die KdU erhalten. Soweit vorhanden kann die Aufteilung der KdU jedoch auf die übrigen Mitglieder der BG erfolgen, wenn von vornherein fest steht, dass die </w:t>
      </w:r>
      <w:r w:rsidRPr="003B27AD">
        <w:rPr>
          <w:rFonts w:cs="Arial"/>
          <w:b/>
          <w:color w:val="00B050"/>
        </w:rPr>
        <w:t xml:space="preserve">Haft </w:t>
      </w:r>
      <w:r w:rsidRPr="003B27AD">
        <w:rPr>
          <w:rFonts w:cs="Arial"/>
          <w:color w:val="00B050"/>
        </w:rPr>
        <w:t xml:space="preserve">nicht länger als </w:t>
      </w:r>
      <w:r>
        <w:rPr>
          <w:rFonts w:cs="Arial"/>
          <w:color w:val="00B050"/>
        </w:rPr>
        <w:t>6</w:t>
      </w:r>
      <w:r w:rsidRPr="003B27AD">
        <w:rPr>
          <w:rFonts w:cs="Arial"/>
          <w:color w:val="00B050"/>
        </w:rPr>
        <w:t xml:space="preserve"> Monate dauern wird und der Häftling wieder zur BG zurückkehrt. Steht jedoch fest, dass die Haft länger als 6 Monate dauert, ist zu prüfen, ob  die KdU für die restliche BG noch angemessen sind. Sind die KdU nicht mehr angemessen, ist ein Kostensenkungsverfahren einzuleiten. Siehe hierzu auch </w:t>
      </w:r>
      <w:r w:rsidRPr="003B27AD">
        <w:rPr>
          <w:color w:val="00B050"/>
        </w:rPr>
        <w:t xml:space="preserve">StMAS Bayern, Schreiben vom </w:t>
      </w:r>
      <w:r w:rsidR="0012351F">
        <w:rPr>
          <w:color w:val="00B050"/>
        </w:rPr>
        <w:t>25.07</w:t>
      </w:r>
      <w:r w:rsidRPr="003B27AD">
        <w:rPr>
          <w:color w:val="00B050"/>
        </w:rPr>
        <w:t>.2016 Az: I 3/6074.04-1/314</w:t>
      </w:r>
    </w:p>
    <w:p w:rsidR="009B40B3" w:rsidRPr="003A5269" w:rsidRDefault="009B40B3" w:rsidP="00F45E53">
      <w:pPr>
        <w:ind w:left="142"/>
        <w:jc w:val="both"/>
      </w:pPr>
    </w:p>
    <w:p w:rsidR="000F0AF9" w:rsidRPr="003A5269" w:rsidRDefault="009B40B3" w:rsidP="00F45E53">
      <w:pPr>
        <w:ind w:left="142"/>
        <w:jc w:val="both"/>
        <w:rPr>
          <w:b/>
        </w:rPr>
      </w:pPr>
      <w:r w:rsidRPr="003A5269">
        <w:rPr>
          <w:b/>
        </w:rPr>
        <w:t xml:space="preserve">Kopfteilprinzip: </w:t>
      </w:r>
    </w:p>
    <w:p w:rsidR="009B40B3" w:rsidRPr="00F23F1A" w:rsidRDefault="009B40B3" w:rsidP="00F45E53">
      <w:pPr>
        <w:ind w:left="142"/>
        <w:jc w:val="both"/>
      </w:pPr>
    </w:p>
    <w:p w:rsidR="000F0AF9" w:rsidRPr="00F23F1A" w:rsidRDefault="000F0AF9" w:rsidP="00F45E53">
      <w:pPr>
        <w:ind w:left="142"/>
        <w:jc w:val="both"/>
      </w:pPr>
      <w:r w:rsidRPr="00F23F1A">
        <w:t>Bei Nutzung einer Unterkunft durch mehrere Personen sind die KdU anteilig pro Kopf aufzuteilen und zwar auch dann, wenn die Unterkunft gemeinsam mit Personen genutzt wird, die nicht zur Bedarfsgemeinschaft (BG) gehören, oder nicht leistungsberechtigt nach dem SGB II sind (vgl. BSG 15.</w:t>
      </w:r>
      <w:r w:rsidR="00811FA9">
        <w:t>0</w:t>
      </w:r>
      <w:r w:rsidRPr="00F23F1A">
        <w:t>4.2008 – B 14/7b AS 58/06 R</w:t>
      </w:r>
      <w:r w:rsidR="00977657" w:rsidRPr="00F23F1A">
        <w:t>-</w:t>
      </w:r>
      <w:r w:rsidRPr="00F23F1A">
        <w:t>).</w:t>
      </w:r>
    </w:p>
    <w:p w:rsidR="00790F5E" w:rsidRPr="00F23F1A" w:rsidRDefault="00790F5E" w:rsidP="00F45E53">
      <w:pPr>
        <w:ind w:left="142"/>
        <w:jc w:val="both"/>
      </w:pPr>
    </w:p>
    <w:p w:rsidR="00790F5E" w:rsidRPr="00F23F1A" w:rsidRDefault="00790F5E" w:rsidP="00F45E53">
      <w:pPr>
        <w:ind w:left="142"/>
        <w:jc w:val="both"/>
      </w:pPr>
      <w:r w:rsidRPr="00F23F1A">
        <w:t>Ausnahmen vom Kopfteilprinzip:</w:t>
      </w:r>
    </w:p>
    <w:p w:rsidR="006207CD" w:rsidRPr="00993152" w:rsidRDefault="006207CD" w:rsidP="00F45E53">
      <w:pPr>
        <w:ind w:left="142"/>
        <w:jc w:val="both"/>
      </w:pPr>
    </w:p>
    <w:p w:rsidR="006207CD" w:rsidRDefault="006207CD" w:rsidP="006207CD">
      <w:pPr>
        <w:ind w:left="142"/>
        <w:jc w:val="both"/>
        <w:rPr>
          <w:rFonts w:cs="Arial"/>
          <w:lang w:val="en-US"/>
        </w:rPr>
      </w:pPr>
      <w:r w:rsidRPr="00993152">
        <w:rPr>
          <w:rFonts w:cs="Arial"/>
        </w:rPr>
        <w:t xml:space="preserve">Lebt ein LB mit seiner nicht hilfebedürftigen Mutter zusammen in einem Eigenheim, kann das Jobcenter ausnahmsweise zur Übernahme der vollen Nebenkosten verpflichtet sein. Dies ist dann der Fall, wenn das Kind das Eigenheim von seinen Eltern vorab als Erbe übertragen bekommen hat und es dafür im Gegenzug </w:t>
      </w:r>
      <w:r w:rsidRPr="00993152">
        <w:rPr>
          <w:rFonts w:cs="Arial"/>
          <w:u w:val="single"/>
        </w:rPr>
        <w:t>mietfreies Wohnen vertraglich zugesichert</w:t>
      </w:r>
      <w:r w:rsidRPr="00993152">
        <w:rPr>
          <w:rFonts w:cs="Arial"/>
        </w:rPr>
        <w:t xml:space="preserve"> hat. Somit </w:t>
      </w:r>
      <w:r w:rsidR="00644E2C" w:rsidRPr="00993152">
        <w:rPr>
          <w:rFonts w:cs="Arial"/>
        </w:rPr>
        <w:t>sind</w:t>
      </w:r>
      <w:r w:rsidRPr="00993152">
        <w:rPr>
          <w:rFonts w:cs="Arial"/>
        </w:rPr>
        <w:t xml:space="preserve"> ausnahmsweise beim Zusammenleben mehrerer Personen in einer Wohnung die KdU nicht nach der Kopfteilmethode aufzuteilen</w:t>
      </w:r>
      <w:r w:rsidR="00990C89">
        <w:rPr>
          <w:rFonts w:cs="Arial"/>
        </w:rPr>
        <w:t xml:space="preserve"> </w:t>
      </w:r>
      <w:r w:rsidRPr="00993152">
        <w:rPr>
          <w:rFonts w:cs="Arial"/>
          <w:lang w:val="en-US"/>
        </w:rPr>
        <w:t>(vgl. BSG 29.11.2012 - B 14 AS 36/12 R –).</w:t>
      </w:r>
    </w:p>
    <w:p w:rsidR="00990C89" w:rsidRDefault="00990C89" w:rsidP="006207CD">
      <w:pPr>
        <w:ind w:left="142"/>
        <w:jc w:val="both"/>
        <w:rPr>
          <w:rFonts w:cs="Arial"/>
          <w:lang w:val="en-US"/>
        </w:rPr>
      </w:pPr>
    </w:p>
    <w:p w:rsidR="00990C89" w:rsidRPr="00F23F1A" w:rsidRDefault="00990C89" w:rsidP="006207CD">
      <w:pPr>
        <w:ind w:left="142"/>
        <w:jc w:val="both"/>
        <w:rPr>
          <w:rFonts w:cs="Arial"/>
        </w:rPr>
      </w:pPr>
      <w:r w:rsidRPr="00F23F1A">
        <w:rPr>
          <w:rFonts w:cs="Arial"/>
        </w:rPr>
        <w:t xml:space="preserve">Eine Abweichung vom Kopfteilprinzip ist auch </w:t>
      </w:r>
      <w:r w:rsidR="006E5CEC" w:rsidRPr="00F23F1A">
        <w:rPr>
          <w:rFonts w:cs="Arial"/>
        </w:rPr>
        <w:t>angezeigt</w:t>
      </w:r>
      <w:r w:rsidRPr="00F23F1A">
        <w:rPr>
          <w:rFonts w:cs="Arial"/>
        </w:rPr>
        <w:t>, wenn durch eine Berücksichtigung der KdU nach Kopfanteilen eine Bedarfsunterdeckung</w:t>
      </w:r>
      <w:r w:rsidR="006E5CEC" w:rsidRPr="00F23F1A">
        <w:rPr>
          <w:rFonts w:cs="Arial"/>
        </w:rPr>
        <w:t xml:space="preserve"> </w:t>
      </w:r>
      <w:r w:rsidR="001E4595" w:rsidRPr="00F23F1A">
        <w:rPr>
          <w:rFonts w:cs="Arial"/>
        </w:rPr>
        <w:t>(z.B. b</w:t>
      </w:r>
      <w:r w:rsidR="006E5CEC" w:rsidRPr="00F23F1A">
        <w:rPr>
          <w:rFonts w:cs="Arial"/>
        </w:rPr>
        <w:t>ei einer Sanktion</w:t>
      </w:r>
      <w:r w:rsidR="001E4595" w:rsidRPr="00F23F1A">
        <w:rPr>
          <w:rFonts w:cs="Arial"/>
        </w:rPr>
        <w:t>)</w:t>
      </w:r>
      <w:r w:rsidRPr="00F23F1A">
        <w:rPr>
          <w:rFonts w:cs="Arial"/>
        </w:rPr>
        <w:t xml:space="preserve"> in Frage steht</w:t>
      </w:r>
      <w:r w:rsidR="006E5CEC" w:rsidRPr="00F23F1A">
        <w:rPr>
          <w:rFonts w:cs="Arial"/>
        </w:rPr>
        <w:t xml:space="preserve"> (BSG 23.05.2013 –B 4 AS 67/12R-). </w:t>
      </w:r>
    </w:p>
    <w:p w:rsidR="009B40B3" w:rsidRPr="00F23F1A" w:rsidRDefault="009B40B3" w:rsidP="006207CD">
      <w:pPr>
        <w:ind w:left="142"/>
        <w:jc w:val="both"/>
        <w:rPr>
          <w:rFonts w:cs="Arial"/>
        </w:rPr>
      </w:pPr>
    </w:p>
    <w:p w:rsidR="006E5CEC" w:rsidRPr="00F23F1A" w:rsidRDefault="00886254" w:rsidP="006207CD">
      <w:pPr>
        <w:ind w:left="142"/>
        <w:jc w:val="both"/>
        <w:rPr>
          <w:rFonts w:cs="Arial"/>
        </w:rPr>
      </w:pPr>
      <w:r w:rsidRPr="00F23F1A">
        <w:rPr>
          <w:rFonts w:cs="Arial"/>
        </w:rPr>
        <w:t>Das Jobcenter Passau Land (JC) schließt sich</w:t>
      </w:r>
      <w:r w:rsidR="009B40B3" w:rsidRPr="00F23F1A">
        <w:rPr>
          <w:rFonts w:cs="Arial"/>
        </w:rPr>
        <w:t xml:space="preserve"> hierzu</w:t>
      </w:r>
      <w:r w:rsidRPr="00F23F1A">
        <w:rPr>
          <w:rFonts w:cs="Arial"/>
        </w:rPr>
        <w:t xml:space="preserve"> der Auffassun</w:t>
      </w:r>
      <w:r w:rsidR="001E4595" w:rsidRPr="00F23F1A">
        <w:rPr>
          <w:rFonts w:cs="Arial"/>
        </w:rPr>
        <w:t>g</w:t>
      </w:r>
      <w:r w:rsidRPr="00F23F1A">
        <w:rPr>
          <w:rFonts w:cs="Arial"/>
        </w:rPr>
        <w:t xml:space="preserve"> des StMAS Bayern mit Schreiben vom 02.06.2014, Az. I 3/6074.04-1/283 an, wonach  sich d</w:t>
      </w:r>
      <w:r w:rsidR="006E5CEC" w:rsidRPr="00F23F1A">
        <w:rPr>
          <w:rFonts w:cs="Arial"/>
        </w:rPr>
        <w:t>ie Verpflichtung des JC, den vorübergehend erhöhten individuellen</w:t>
      </w:r>
      <w:r w:rsidRPr="00F23F1A">
        <w:rPr>
          <w:rFonts w:cs="Arial"/>
        </w:rPr>
        <w:t xml:space="preserve"> KdU-</w:t>
      </w:r>
      <w:r w:rsidR="006E5CEC" w:rsidRPr="00F23F1A">
        <w:rPr>
          <w:rFonts w:cs="Arial"/>
        </w:rPr>
        <w:t>Bedarf der nicht sanktionierten Mitglieder einer BG zu decken</w:t>
      </w:r>
      <w:r w:rsidRPr="00F23F1A">
        <w:rPr>
          <w:rFonts w:cs="Arial"/>
        </w:rPr>
        <w:t>,</w:t>
      </w:r>
      <w:r w:rsidR="006E5CEC" w:rsidRPr="00F23F1A">
        <w:rPr>
          <w:rFonts w:cs="Arial"/>
        </w:rPr>
        <w:t xml:space="preserve">  </w:t>
      </w:r>
      <w:r w:rsidRPr="00F23F1A">
        <w:rPr>
          <w:rFonts w:cs="Arial"/>
        </w:rPr>
        <w:t xml:space="preserve">nicht nur auf sanktionierte volljährige Kinder, sondern  auf alle sanktionierten Personen einer BG bezieht, also auch </w:t>
      </w:r>
      <w:r w:rsidR="006E5CEC" w:rsidRPr="00F23F1A">
        <w:rPr>
          <w:rFonts w:cs="Arial"/>
        </w:rPr>
        <w:t xml:space="preserve">  auf Ehepartner, Lebenspartner, Partner der nichtehelichen Lebensgemeinschaft und  auf minderjährige Kinder.</w:t>
      </w:r>
    </w:p>
    <w:p w:rsidR="0056770F" w:rsidRPr="00F23F1A" w:rsidRDefault="0056770F" w:rsidP="006207CD">
      <w:pPr>
        <w:ind w:left="142"/>
        <w:jc w:val="both"/>
        <w:rPr>
          <w:rFonts w:cs="Arial"/>
        </w:rPr>
      </w:pPr>
    </w:p>
    <w:p w:rsidR="006E5CEC" w:rsidRPr="003A5269" w:rsidRDefault="006E5CEC" w:rsidP="006207CD">
      <w:pPr>
        <w:ind w:left="142"/>
        <w:jc w:val="both"/>
        <w:rPr>
          <w:rFonts w:cs="Arial"/>
        </w:rPr>
      </w:pPr>
      <w:r w:rsidRPr="00F23F1A">
        <w:rPr>
          <w:rFonts w:cs="Arial"/>
        </w:rPr>
        <w:t xml:space="preserve">Die KdU-Anteile der nicht sanktionierten Mitglieder der BG, die vertragliche Mieter sind, sind kopfteilig neu zu berechnen und um den Anteil des sanktionierten Mitgliedes zu erhöhen, </w:t>
      </w:r>
      <w:r w:rsidRPr="00F23F1A">
        <w:rPr>
          <w:rFonts w:cs="Arial"/>
          <w:u w:val="single"/>
        </w:rPr>
        <w:t>wenn</w:t>
      </w:r>
      <w:r w:rsidRPr="00F23F1A">
        <w:rPr>
          <w:rFonts w:cs="Arial"/>
        </w:rPr>
        <w:t xml:space="preserve"> das sanktionierte Mitglied seinen KdU Anteil nicht aus seinen </w:t>
      </w:r>
      <w:r w:rsidRPr="00F23F1A">
        <w:rPr>
          <w:rFonts w:cs="Arial"/>
          <w:u w:val="single"/>
        </w:rPr>
        <w:t>Einkommen</w:t>
      </w:r>
      <w:r w:rsidRPr="00F23F1A">
        <w:rPr>
          <w:rFonts w:cs="Arial"/>
        </w:rPr>
        <w:t xml:space="preserve"> oder </w:t>
      </w:r>
      <w:r w:rsidRPr="00F23F1A">
        <w:rPr>
          <w:rFonts w:cs="Arial"/>
          <w:u w:val="single"/>
        </w:rPr>
        <w:t>Vermögen</w:t>
      </w:r>
      <w:r w:rsidRPr="00F23F1A">
        <w:rPr>
          <w:rFonts w:cs="Arial"/>
        </w:rPr>
        <w:t xml:space="preserve"> tragen kann</w:t>
      </w:r>
      <w:r w:rsidR="00E80D2A">
        <w:rPr>
          <w:rFonts w:cs="Arial"/>
        </w:rPr>
        <w:t xml:space="preserve"> </w:t>
      </w:r>
      <w:r w:rsidR="00E80D2A" w:rsidRPr="003A5269">
        <w:rPr>
          <w:rFonts w:cs="Arial"/>
        </w:rPr>
        <w:t>(vgl. auch BSG 02</w:t>
      </w:r>
      <w:r w:rsidRPr="003A5269">
        <w:rPr>
          <w:rFonts w:cs="Arial"/>
        </w:rPr>
        <w:t>.</w:t>
      </w:r>
      <w:r w:rsidR="00E80D2A" w:rsidRPr="003A5269">
        <w:rPr>
          <w:rFonts w:cs="Arial"/>
        </w:rPr>
        <w:t>12.2014 – B 14 AS 50/13 R).</w:t>
      </w:r>
    </w:p>
    <w:p w:rsidR="006E5CEC" w:rsidRPr="00F23F1A" w:rsidRDefault="006E5CEC" w:rsidP="006207CD">
      <w:pPr>
        <w:ind w:left="142"/>
        <w:jc w:val="both"/>
        <w:rPr>
          <w:rFonts w:cs="Arial"/>
        </w:rPr>
      </w:pPr>
    </w:p>
    <w:p w:rsidR="00886254" w:rsidRPr="00F23F1A" w:rsidRDefault="0056770F" w:rsidP="00611FC0">
      <w:pPr>
        <w:ind w:left="142"/>
        <w:jc w:val="both"/>
        <w:rPr>
          <w:rFonts w:cs="Arial"/>
        </w:rPr>
      </w:pPr>
      <w:r w:rsidRPr="00F23F1A">
        <w:rPr>
          <w:rFonts w:cs="Arial"/>
        </w:rPr>
        <w:t xml:space="preserve">Ist die nicht sanktionierte Person jedoch “nur” Mitglied einer Haushaltsgemeinschaft oder Wohngemeinschaft kommt eine </w:t>
      </w:r>
      <w:r w:rsidR="00790F5E" w:rsidRPr="00F23F1A">
        <w:rPr>
          <w:rFonts w:cs="Arial"/>
        </w:rPr>
        <w:t>Erhöhung des KdU-Bedarfes</w:t>
      </w:r>
      <w:r w:rsidRPr="00F23F1A">
        <w:rPr>
          <w:rFonts w:cs="Arial"/>
        </w:rPr>
        <w:t xml:space="preserve"> grundsätzlich nicht in Betracht</w:t>
      </w:r>
      <w:r w:rsidR="00611FC0">
        <w:rPr>
          <w:rFonts w:cs="Arial"/>
        </w:rPr>
        <w:t>.</w:t>
      </w:r>
    </w:p>
    <w:p w:rsidR="009B40B3" w:rsidRDefault="00886254" w:rsidP="00611FC0">
      <w:pPr>
        <w:ind w:left="142"/>
        <w:jc w:val="both"/>
        <w:rPr>
          <w:rFonts w:cs="Arial"/>
        </w:rPr>
      </w:pPr>
      <w:r w:rsidRPr="00F23F1A">
        <w:rPr>
          <w:rFonts w:cs="Arial"/>
        </w:rPr>
        <w:t>Eine Neuaufteilung der KdU Ante</w:t>
      </w:r>
      <w:r w:rsidR="009B40B3" w:rsidRPr="00F23F1A">
        <w:rPr>
          <w:rFonts w:cs="Arial"/>
        </w:rPr>
        <w:t>i</w:t>
      </w:r>
      <w:r w:rsidRPr="00F23F1A">
        <w:rPr>
          <w:rFonts w:cs="Arial"/>
        </w:rPr>
        <w:t xml:space="preserve">le ist auch vertretbar,  </w:t>
      </w:r>
      <w:r w:rsidR="009B40B3" w:rsidRPr="00F23F1A">
        <w:rPr>
          <w:rFonts w:cs="Arial"/>
        </w:rPr>
        <w:t xml:space="preserve">wenn das </w:t>
      </w:r>
      <w:r w:rsidRPr="00F23F1A">
        <w:rPr>
          <w:rFonts w:cs="Arial"/>
        </w:rPr>
        <w:t xml:space="preserve"> nicht  sanktionierte Mitglied der BG </w:t>
      </w:r>
      <w:r w:rsidR="009B40B3" w:rsidRPr="00F23F1A">
        <w:rPr>
          <w:rFonts w:cs="Arial"/>
        </w:rPr>
        <w:t xml:space="preserve"> keine mietvertraglichen Verpflichtungen hat, aber eine </w:t>
      </w:r>
      <w:r w:rsidR="009B40B3" w:rsidRPr="00F23F1A">
        <w:rPr>
          <w:rFonts w:cs="Arial"/>
          <w:u w:val="single"/>
        </w:rPr>
        <w:t>konkrete</w:t>
      </w:r>
      <w:r w:rsidR="009B40B3" w:rsidRPr="00F23F1A">
        <w:rPr>
          <w:rFonts w:cs="Arial"/>
        </w:rPr>
        <w:t xml:space="preserve"> Gefahr gegeben ist,  </w:t>
      </w:r>
      <w:r w:rsidR="001E4595" w:rsidRPr="00F23F1A">
        <w:rPr>
          <w:rFonts w:cs="Arial"/>
        </w:rPr>
        <w:t>dass</w:t>
      </w:r>
      <w:r w:rsidR="009B40B3" w:rsidRPr="00F23F1A">
        <w:rPr>
          <w:rFonts w:cs="Arial"/>
        </w:rPr>
        <w:t xml:space="preserve"> es </w:t>
      </w:r>
      <w:r w:rsidRPr="00F23F1A">
        <w:rPr>
          <w:rFonts w:cs="Arial"/>
        </w:rPr>
        <w:t>(mit dem sanktionierten Mitglied) die Wohnung verliert</w:t>
      </w:r>
      <w:r w:rsidR="009B40B3" w:rsidRPr="00F23F1A">
        <w:rPr>
          <w:rFonts w:cs="Arial"/>
        </w:rPr>
        <w:t>.</w:t>
      </w:r>
      <w:r w:rsidRPr="00F23F1A">
        <w:rPr>
          <w:rFonts w:cs="Arial"/>
        </w:rPr>
        <w:t xml:space="preserve"> </w:t>
      </w:r>
    </w:p>
    <w:p w:rsidR="001C7144" w:rsidRPr="00F23F1A" w:rsidRDefault="001C7144" w:rsidP="00611FC0">
      <w:pPr>
        <w:ind w:left="142"/>
        <w:jc w:val="both"/>
        <w:rPr>
          <w:rFonts w:cs="Arial"/>
        </w:rPr>
      </w:pPr>
    </w:p>
    <w:p w:rsidR="009B40B3" w:rsidRPr="00F23F1A" w:rsidRDefault="009B40B3" w:rsidP="006207CD">
      <w:pPr>
        <w:ind w:left="142"/>
        <w:jc w:val="both"/>
        <w:rPr>
          <w:rFonts w:cs="Arial"/>
        </w:rPr>
      </w:pPr>
      <w:r w:rsidRPr="00F23F1A">
        <w:rPr>
          <w:rFonts w:cs="Arial"/>
        </w:rPr>
        <w:lastRenderedPageBreak/>
        <w:t xml:space="preserve">Liegt eine gemischte BG (Partner ist dem SGB XII zuzuordnen) vor, und </w:t>
      </w:r>
      <w:r w:rsidR="00790F5E" w:rsidRPr="00F23F1A">
        <w:rPr>
          <w:rFonts w:cs="Arial"/>
        </w:rPr>
        <w:t>ist der</w:t>
      </w:r>
      <w:r w:rsidRPr="00F23F1A">
        <w:rPr>
          <w:rFonts w:cs="Arial"/>
        </w:rPr>
        <w:t xml:space="preserve"> KdU</w:t>
      </w:r>
      <w:r w:rsidR="00790F5E" w:rsidRPr="00F23F1A">
        <w:rPr>
          <w:rFonts w:cs="Arial"/>
        </w:rPr>
        <w:t>-Anteil</w:t>
      </w:r>
      <w:r w:rsidRPr="00F23F1A">
        <w:rPr>
          <w:rFonts w:cs="Arial"/>
        </w:rPr>
        <w:t xml:space="preserve">  des im SGB II verbliebene Partners sanktioniert, so soll nach Auffassung des StMAS der Sozialhilfeträger bei einer konkreten Gefahr des Wohnungsverlustes auch d</w:t>
      </w:r>
      <w:r w:rsidR="00790F5E" w:rsidRPr="00F23F1A">
        <w:rPr>
          <w:rFonts w:cs="Arial"/>
        </w:rPr>
        <w:t>en KdU-</w:t>
      </w:r>
      <w:r w:rsidRPr="00F23F1A">
        <w:rPr>
          <w:rFonts w:cs="Arial"/>
        </w:rPr>
        <w:t>Anteil des sanktionierten Partners übernehmen, wenn für die Zeit der Sanktion der KdU Anteil nicht aus dem Einkommen und Vermögen des Sanktionierten bestritten w</w:t>
      </w:r>
      <w:r w:rsidR="001E4595" w:rsidRPr="00F23F1A">
        <w:rPr>
          <w:rFonts w:cs="Arial"/>
        </w:rPr>
        <w:t>e</w:t>
      </w:r>
      <w:r w:rsidRPr="00F23F1A">
        <w:rPr>
          <w:rFonts w:cs="Arial"/>
        </w:rPr>
        <w:t xml:space="preserve">rden kann. </w:t>
      </w:r>
    </w:p>
    <w:p w:rsidR="009B40B3" w:rsidRPr="00F23F1A" w:rsidRDefault="009B40B3" w:rsidP="00611FC0">
      <w:pPr>
        <w:jc w:val="both"/>
        <w:rPr>
          <w:rFonts w:cs="Arial"/>
          <w:lang w:val="en-US"/>
        </w:rPr>
      </w:pPr>
    </w:p>
    <w:p w:rsidR="000B3EAA" w:rsidRPr="00F23F1A" w:rsidRDefault="000B3EAA" w:rsidP="00DA7204">
      <w:pPr>
        <w:ind w:left="142" w:hanging="142"/>
        <w:jc w:val="both"/>
        <w:rPr>
          <w:rFonts w:cs="Arial"/>
        </w:rPr>
      </w:pPr>
      <w:r w:rsidRPr="00F23F1A">
        <w:rPr>
          <w:rFonts w:cs="Arial"/>
        </w:rPr>
        <w:t xml:space="preserve">  </w:t>
      </w:r>
    </w:p>
    <w:p w:rsidR="000B3EAA" w:rsidRPr="007A6096" w:rsidRDefault="000B3EAA" w:rsidP="00DA7204">
      <w:pPr>
        <w:ind w:left="142" w:hanging="142"/>
        <w:jc w:val="both"/>
        <w:rPr>
          <w:rFonts w:cs="Arial"/>
          <w:b/>
        </w:rPr>
      </w:pPr>
      <w:r w:rsidRPr="007A6096">
        <w:rPr>
          <w:rFonts w:cs="Arial"/>
        </w:rPr>
        <w:t xml:space="preserve">  </w:t>
      </w:r>
      <w:r w:rsidRPr="007A6096">
        <w:rPr>
          <w:rFonts w:cs="Arial"/>
          <w:b/>
        </w:rPr>
        <w:t>Kosten der Unterkunft bei verspäteter Mitteilung des Umzuges</w:t>
      </w:r>
      <w:r w:rsidR="00414AC9" w:rsidRPr="007A6096">
        <w:rPr>
          <w:rFonts w:cs="Arial"/>
          <w:b/>
        </w:rPr>
        <w:t xml:space="preserve"> (bzw. auch wenn die KdU trotz rechtzeitiger Mitteilung schon ausgezahlt wurden)</w:t>
      </w:r>
      <w:r w:rsidRPr="007A6096">
        <w:rPr>
          <w:rFonts w:cs="Arial"/>
          <w:b/>
        </w:rPr>
        <w:t xml:space="preserve"> in oder aus </w:t>
      </w:r>
      <w:r w:rsidR="00C60E9D" w:rsidRPr="007A6096">
        <w:rPr>
          <w:rFonts w:cs="Arial"/>
          <w:b/>
        </w:rPr>
        <w:t>dem</w:t>
      </w:r>
      <w:r w:rsidRPr="007A6096">
        <w:rPr>
          <w:rFonts w:cs="Arial"/>
          <w:b/>
        </w:rPr>
        <w:t xml:space="preserve"> Landkreis Passau</w:t>
      </w:r>
      <w:r w:rsidR="00790F5E" w:rsidRPr="007A6096">
        <w:rPr>
          <w:rFonts w:cs="Arial"/>
          <w:b/>
        </w:rPr>
        <w:t>:</w:t>
      </w:r>
    </w:p>
    <w:p w:rsidR="000B3EAA" w:rsidRPr="00F23F1A" w:rsidRDefault="000B3EAA" w:rsidP="00DA7204">
      <w:pPr>
        <w:ind w:left="142" w:hanging="142"/>
        <w:jc w:val="both"/>
        <w:rPr>
          <w:rFonts w:cs="Arial"/>
          <w:b/>
        </w:rPr>
      </w:pPr>
    </w:p>
    <w:p w:rsidR="000B3EAA" w:rsidRPr="00F23F1A" w:rsidRDefault="000B3EAA" w:rsidP="000B3EAA">
      <w:pPr>
        <w:ind w:left="142"/>
        <w:jc w:val="both"/>
        <w:rPr>
          <w:rFonts w:cs="Arial"/>
        </w:rPr>
      </w:pPr>
      <w:r w:rsidRPr="00F23F1A">
        <w:rPr>
          <w:rFonts w:cs="Arial"/>
        </w:rPr>
        <w:t>Wir schließen uns der bestehenden Rechtsauffassung des Bayerischen Staatsministeriums</w:t>
      </w:r>
      <w:r w:rsidR="00C60E9D" w:rsidRPr="00F23F1A">
        <w:rPr>
          <w:rFonts w:cs="Arial"/>
        </w:rPr>
        <w:t xml:space="preserve"> (vgl. Schreiben StMAS vom 17.07.2007, Az. I 3/2337-5/17/07) </w:t>
      </w:r>
      <w:r w:rsidRPr="00F23F1A">
        <w:rPr>
          <w:rFonts w:cs="Arial"/>
        </w:rPr>
        <w:t xml:space="preserve">weiterhin an, wonach </w:t>
      </w:r>
      <w:r w:rsidR="00C60E9D" w:rsidRPr="00F23F1A">
        <w:rPr>
          <w:rFonts w:cs="Arial"/>
        </w:rPr>
        <w:t>ein</w:t>
      </w:r>
      <w:r w:rsidRPr="00F23F1A">
        <w:rPr>
          <w:rFonts w:cs="Arial"/>
        </w:rPr>
        <w:t xml:space="preserve"> Bescheid bei Weiterbestehen der Hilfebedürftigkeit </w:t>
      </w:r>
      <w:r w:rsidRPr="00F23F1A">
        <w:rPr>
          <w:rFonts w:cs="Arial"/>
          <w:u w:val="single"/>
        </w:rPr>
        <w:t>innerhalb des Bewilligungszeitraumes</w:t>
      </w:r>
      <w:r w:rsidRPr="00F23F1A">
        <w:rPr>
          <w:rFonts w:cs="Arial"/>
        </w:rPr>
        <w:t xml:space="preserve"> über den Zeitpunkt des Umzugs hinaus fortbesteht</w:t>
      </w:r>
      <w:r w:rsidR="003D2087" w:rsidRPr="00F23F1A">
        <w:rPr>
          <w:rFonts w:cs="Arial"/>
        </w:rPr>
        <w:t xml:space="preserve"> (vgl. auch BSG 17.10.2013 – B 14 AS 58/12 R-)</w:t>
      </w:r>
      <w:r w:rsidRPr="00F23F1A">
        <w:rPr>
          <w:rFonts w:cs="Arial"/>
        </w:rPr>
        <w:t xml:space="preserve">. </w:t>
      </w:r>
    </w:p>
    <w:p w:rsidR="000B3EAA" w:rsidRPr="00F23F1A" w:rsidRDefault="000B3EAA" w:rsidP="000B3EAA">
      <w:pPr>
        <w:ind w:left="142"/>
        <w:jc w:val="both"/>
        <w:rPr>
          <w:rFonts w:cs="Arial"/>
        </w:rPr>
      </w:pPr>
    </w:p>
    <w:p w:rsidR="000B3EAA" w:rsidRPr="00F23F1A" w:rsidRDefault="000B3EAA" w:rsidP="000B3EAA">
      <w:pPr>
        <w:ind w:left="142"/>
        <w:jc w:val="both"/>
        <w:rPr>
          <w:rFonts w:cs="Arial"/>
        </w:rPr>
      </w:pPr>
      <w:r w:rsidRPr="00F23F1A">
        <w:rPr>
          <w:rFonts w:cs="Arial"/>
        </w:rPr>
        <w:t xml:space="preserve">Das Jobcenter Passau Land  hebt daher den bisherigen Bescheid (rückwirkend) ab dem Zeitpunkt des Umzuges ohne Rückforderung mit dem Hinweis auf, dass durch den Träger des Zuzugsortes ein gesonderter Bescheid erteilt wird und die bereits erbrachten Leistungen dort als ausgezahlt (Regelleistung) gelten, bzw. an das Jobcenter Passau Land erstattet (KdU) werden. </w:t>
      </w:r>
    </w:p>
    <w:p w:rsidR="000B3EAA" w:rsidRPr="00F23F1A" w:rsidRDefault="000B3EAA" w:rsidP="000B3EAA">
      <w:pPr>
        <w:ind w:left="142"/>
        <w:jc w:val="both"/>
        <w:rPr>
          <w:rFonts w:cs="Arial"/>
        </w:rPr>
      </w:pPr>
    </w:p>
    <w:p w:rsidR="000B3EAA" w:rsidRDefault="000B3EAA" w:rsidP="000B3EAA">
      <w:pPr>
        <w:ind w:left="142"/>
        <w:jc w:val="both"/>
        <w:rPr>
          <w:rFonts w:cs="Arial"/>
        </w:rPr>
      </w:pPr>
      <w:r w:rsidRPr="00F23F1A">
        <w:rPr>
          <w:rFonts w:cs="Arial"/>
        </w:rPr>
        <w:t xml:space="preserve">Der Träger am Zuzugsort zahlt dann rückwirkend die neu berechnete Hilfe unter Anrechnung der von uns bereits erbrachten Zahlungen und erstattet uns die ausgezahlte KdU bis zur Höhe der dort anerkannten KdU. </w:t>
      </w:r>
    </w:p>
    <w:p w:rsidR="007624D2" w:rsidRDefault="007624D2" w:rsidP="000B3EAA">
      <w:pPr>
        <w:ind w:left="142"/>
        <w:jc w:val="both"/>
        <w:rPr>
          <w:rFonts w:cs="Arial"/>
        </w:rPr>
      </w:pPr>
    </w:p>
    <w:p w:rsidR="000B3EAA" w:rsidRDefault="000B3EAA" w:rsidP="000B3EAA">
      <w:pPr>
        <w:ind w:left="142"/>
        <w:jc w:val="both"/>
        <w:rPr>
          <w:rFonts w:cs="Arial"/>
        </w:rPr>
      </w:pPr>
      <w:r w:rsidRPr="00993152">
        <w:rPr>
          <w:rFonts w:cs="Arial"/>
        </w:rPr>
        <w:t>Dieses Verfahren ist natürlich auch bei Zuzug in den Landkreis gegenüber den Träger des Wegzugsortes anzuwenden.</w:t>
      </w:r>
    </w:p>
    <w:p w:rsidR="007624D2" w:rsidRDefault="007624D2" w:rsidP="000B3EAA">
      <w:pPr>
        <w:ind w:left="142"/>
        <w:jc w:val="both"/>
        <w:rPr>
          <w:rFonts w:cs="Arial"/>
        </w:rPr>
      </w:pPr>
    </w:p>
    <w:p w:rsidR="007624D2" w:rsidRPr="00993152" w:rsidRDefault="007624D2" w:rsidP="007624D2">
      <w:pPr>
        <w:ind w:left="142"/>
        <w:jc w:val="both"/>
        <w:rPr>
          <w:rFonts w:cs="Arial"/>
        </w:rPr>
      </w:pPr>
      <w:r w:rsidRPr="00993152">
        <w:rPr>
          <w:rFonts w:cs="Arial"/>
        </w:rPr>
        <w:t>Sollten sich Träger außerhalb Bayerns nicht dieser Rechtsauffassung anschließen und die KdU nicht an uns erstatten, besteht hier weiterhin die Möglichkeit gem. § 48 Abs. 1  Satz 2 Nr. 2 und 4 SGB X die zu viel gezahlten KdU vom Kunden zurückzufordern.</w:t>
      </w:r>
    </w:p>
    <w:p w:rsidR="000B3EAA" w:rsidRPr="00993152" w:rsidRDefault="000B3EAA" w:rsidP="000B3EAA">
      <w:pPr>
        <w:ind w:left="142"/>
        <w:jc w:val="both"/>
        <w:rPr>
          <w:rFonts w:cs="Arial"/>
        </w:rPr>
      </w:pPr>
    </w:p>
    <w:p w:rsidR="000B3EAA" w:rsidRPr="00993152" w:rsidRDefault="000B3EAA" w:rsidP="000B3EAA">
      <w:pPr>
        <w:ind w:left="142"/>
        <w:jc w:val="both"/>
        <w:rPr>
          <w:rFonts w:cs="Arial"/>
        </w:rPr>
      </w:pPr>
      <w:r w:rsidRPr="00993152">
        <w:rPr>
          <w:rFonts w:cs="Arial"/>
        </w:rPr>
        <w:t xml:space="preserve">Bei der Abwicklung ist folgendes zu beachten: </w:t>
      </w:r>
    </w:p>
    <w:p w:rsidR="003C191E" w:rsidRDefault="000B3EAA" w:rsidP="00E5033E">
      <w:pPr>
        <w:pStyle w:val="Listenabsatz"/>
        <w:numPr>
          <w:ilvl w:val="0"/>
          <w:numId w:val="23"/>
        </w:numPr>
        <w:ind w:left="142" w:firstLine="0"/>
        <w:jc w:val="both"/>
        <w:rPr>
          <w:rFonts w:cs="Arial"/>
        </w:rPr>
      </w:pPr>
      <w:r w:rsidRPr="00993152">
        <w:rPr>
          <w:rFonts w:cs="Arial"/>
        </w:rPr>
        <w:t xml:space="preserve">Bewilligungszeitraum in </w:t>
      </w:r>
      <w:r w:rsidR="003C191E">
        <w:rPr>
          <w:rFonts w:cs="Arial"/>
        </w:rPr>
        <w:t xml:space="preserve">ALLEGRO </w:t>
      </w:r>
      <w:r w:rsidRPr="00993152">
        <w:rPr>
          <w:rFonts w:cs="Arial"/>
        </w:rPr>
        <w:t>so begrenzen, dass keine</w:t>
      </w:r>
    </w:p>
    <w:p w:rsidR="000B3EAA" w:rsidRPr="00993152" w:rsidRDefault="003C191E" w:rsidP="00C60E9D">
      <w:pPr>
        <w:ind w:left="142"/>
        <w:jc w:val="both"/>
        <w:rPr>
          <w:rFonts w:cs="Arial"/>
        </w:rPr>
      </w:pPr>
      <w:r>
        <w:rPr>
          <w:rFonts w:cs="Arial"/>
        </w:rPr>
        <w:t xml:space="preserve">        </w:t>
      </w:r>
      <w:r w:rsidR="000B3EAA" w:rsidRPr="003C191E">
        <w:rPr>
          <w:rFonts w:cs="Arial"/>
        </w:rPr>
        <w:t xml:space="preserve"> Zeitraumüberschneidung mit </w:t>
      </w:r>
      <w:r w:rsidR="00C60E9D" w:rsidRPr="00993152">
        <w:rPr>
          <w:rFonts w:cs="Arial"/>
        </w:rPr>
        <w:t xml:space="preserve"> </w:t>
      </w:r>
      <w:r w:rsidR="000B3EAA" w:rsidRPr="00993152">
        <w:rPr>
          <w:rFonts w:cs="Arial"/>
        </w:rPr>
        <w:t xml:space="preserve">neuem Träger besteht. </w:t>
      </w:r>
    </w:p>
    <w:p w:rsidR="00C60E9D" w:rsidRPr="00993152" w:rsidRDefault="000B3EAA" w:rsidP="00E5033E">
      <w:pPr>
        <w:pStyle w:val="Listenabsatz"/>
        <w:numPr>
          <w:ilvl w:val="0"/>
          <w:numId w:val="23"/>
        </w:numPr>
        <w:ind w:left="142" w:firstLine="0"/>
        <w:jc w:val="both"/>
        <w:rPr>
          <w:rFonts w:cs="Arial"/>
        </w:rPr>
      </w:pPr>
      <w:r w:rsidRPr="00993152">
        <w:rPr>
          <w:rFonts w:cs="Arial"/>
        </w:rPr>
        <w:t>bei Fortbestehen der Hilfebedürftigkeit sind die Regelbedarfe nicht zurückzufordern</w:t>
      </w:r>
    </w:p>
    <w:p w:rsidR="003C191E" w:rsidRPr="003C191E" w:rsidRDefault="000B3EAA" w:rsidP="003C191E">
      <w:pPr>
        <w:pStyle w:val="Listenabsatz"/>
        <w:numPr>
          <w:ilvl w:val="0"/>
          <w:numId w:val="23"/>
        </w:numPr>
        <w:ind w:hanging="578"/>
        <w:jc w:val="both"/>
        <w:rPr>
          <w:rFonts w:cs="Arial"/>
        </w:rPr>
      </w:pPr>
      <w:r w:rsidRPr="003C191E">
        <w:rPr>
          <w:rFonts w:cs="Arial"/>
        </w:rPr>
        <w:t>Rückforderung der KdU für die Überschneidungsmonate</w:t>
      </w:r>
      <w:r w:rsidR="003C191E" w:rsidRPr="003C191E">
        <w:rPr>
          <w:rFonts w:cs="Arial"/>
        </w:rPr>
        <w:t xml:space="preserve"> </w:t>
      </w:r>
      <w:r w:rsidRPr="003C191E">
        <w:rPr>
          <w:rFonts w:cs="Arial"/>
        </w:rPr>
        <w:t>und den</w:t>
      </w:r>
    </w:p>
    <w:p w:rsidR="000B3EAA" w:rsidRPr="00993152" w:rsidRDefault="003C191E" w:rsidP="00C60E9D">
      <w:pPr>
        <w:ind w:left="142"/>
        <w:jc w:val="both"/>
        <w:rPr>
          <w:rFonts w:cs="Arial"/>
          <w:i/>
          <w:sz w:val="20"/>
          <w:szCs w:val="20"/>
        </w:rPr>
      </w:pPr>
      <w:r>
        <w:rPr>
          <w:rFonts w:cs="Arial"/>
        </w:rPr>
        <w:t xml:space="preserve">       </w:t>
      </w:r>
      <w:r w:rsidR="000B3EAA" w:rsidRPr="003C191E">
        <w:rPr>
          <w:rFonts w:cs="Arial"/>
        </w:rPr>
        <w:t xml:space="preserve"> </w:t>
      </w:r>
      <w:r w:rsidRPr="003C191E">
        <w:rPr>
          <w:rFonts w:cs="Arial"/>
        </w:rPr>
        <w:t xml:space="preserve"> </w:t>
      </w:r>
      <w:r w:rsidR="000B3EAA" w:rsidRPr="003C191E">
        <w:rPr>
          <w:rFonts w:cs="Arial"/>
        </w:rPr>
        <w:t>Erstattungsanspruch an neuen Träger senden</w:t>
      </w:r>
      <w:r>
        <w:rPr>
          <w:rFonts w:cs="Arial"/>
        </w:rPr>
        <w:t xml:space="preserve"> </w:t>
      </w:r>
      <w:r w:rsidR="00C60E9D" w:rsidRPr="00993152">
        <w:rPr>
          <w:rFonts w:cs="Arial"/>
        </w:rPr>
        <w:t xml:space="preserve">  (</w:t>
      </w:r>
      <w:r w:rsidR="00C60E9D" w:rsidRPr="00993152">
        <w:rPr>
          <w:rFonts w:cs="Arial"/>
          <w:i/>
          <w:sz w:val="20"/>
          <w:szCs w:val="20"/>
        </w:rPr>
        <w:t>TB § 2 SGB X -10)</w:t>
      </w:r>
      <w:r w:rsidR="000B3EAA" w:rsidRPr="00993152">
        <w:rPr>
          <w:rFonts w:cs="Arial"/>
          <w:i/>
          <w:sz w:val="20"/>
          <w:szCs w:val="20"/>
        </w:rPr>
        <w:t>.</w:t>
      </w:r>
    </w:p>
    <w:p w:rsidR="000B3EAA" w:rsidRDefault="000B3EAA" w:rsidP="00E5033E">
      <w:pPr>
        <w:pStyle w:val="Listenabsatz"/>
        <w:numPr>
          <w:ilvl w:val="0"/>
          <w:numId w:val="23"/>
        </w:numPr>
        <w:ind w:left="142" w:firstLine="0"/>
        <w:jc w:val="both"/>
        <w:rPr>
          <w:rFonts w:cs="Arial"/>
        </w:rPr>
      </w:pPr>
      <w:r w:rsidRPr="00993152">
        <w:rPr>
          <w:rFonts w:cs="Arial"/>
        </w:rPr>
        <w:t xml:space="preserve">Rückforderung entsprechend in ERP einpflegen.  </w:t>
      </w:r>
    </w:p>
    <w:p w:rsidR="00414AC9" w:rsidRDefault="00414AC9" w:rsidP="00414AC9">
      <w:pPr>
        <w:ind w:left="142"/>
        <w:jc w:val="both"/>
        <w:rPr>
          <w:rFonts w:cs="Arial"/>
        </w:rPr>
      </w:pPr>
    </w:p>
    <w:p w:rsidR="00611FC0" w:rsidRDefault="00414AC9" w:rsidP="00611FC0">
      <w:pPr>
        <w:ind w:left="142"/>
        <w:jc w:val="both"/>
        <w:rPr>
          <w:rFonts w:cs="Arial"/>
        </w:rPr>
      </w:pPr>
      <w:r w:rsidRPr="007A6096">
        <w:rPr>
          <w:rFonts w:cs="Arial"/>
          <w:b/>
          <w:u w:val="single"/>
        </w:rPr>
        <w:t>Ausnahme:</w:t>
      </w:r>
      <w:r w:rsidRPr="007A6096">
        <w:rPr>
          <w:rFonts w:cs="Arial"/>
        </w:rPr>
        <w:t xml:space="preserve"> Soweit das abgebende Jobcenter die KdU für die Zeit nach dem Umzug </w:t>
      </w:r>
      <w:r w:rsidRPr="007A6096">
        <w:rPr>
          <w:rFonts w:cs="Arial"/>
          <w:u w:val="single"/>
        </w:rPr>
        <w:t xml:space="preserve">direkt an den Vermieter </w:t>
      </w:r>
      <w:r w:rsidRPr="007A6096">
        <w:rPr>
          <w:rFonts w:cs="Arial"/>
        </w:rPr>
        <w:t>überwiesen hat und der Vermieter</w:t>
      </w:r>
      <w:r w:rsidR="007624D2" w:rsidRPr="007A6096">
        <w:rPr>
          <w:rFonts w:cs="Arial"/>
        </w:rPr>
        <w:t xml:space="preserve"> auf Nachfrage</w:t>
      </w:r>
      <w:r w:rsidRPr="007A6096">
        <w:rPr>
          <w:rFonts w:cs="Arial"/>
        </w:rPr>
        <w:t xml:space="preserve"> erklärt, dass er die Miete (aus welchen Gründen auch immer) nicht an den LB herausgibt, wird für die KdU kein Erstattungsanspruch gegenüber den aufnehmenden Jobcenter geltend gemacht, damit die neue Unterkunft nicht gefährdet ist. Somit kann die neue KdU vom aufnehmenden Jobcenter gezahlt werden. Das abgebende Jobcenter versucht die zu viel ausgezahlte alte KdU vom LB zurückzufordern.  </w:t>
      </w:r>
    </w:p>
    <w:p w:rsidR="00611FC0" w:rsidRDefault="00611FC0" w:rsidP="00611FC0">
      <w:pPr>
        <w:ind w:left="142"/>
        <w:jc w:val="both"/>
        <w:rPr>
          <w:rFonts w:cs="Arial"/>
        </w:rPr>
      </w:pPr>
    </w:p>
    <w:p w:rsidR="000B3EAA" w:rsidRPr="00993152" w:rsidRDefault="000B3EAA" w:rsidP="00611FC0">
      <w:pPr>
        <w:ind w:left="142"/>
        <w:jc w:val="both"/>
        <w:rPr>
          <w:rFonts w:cs="Arial"/>
        </w:rPr>
      </w:pPr>
      <w:r w:rsidRPr="00993152">
        <w:rPr>
          <w:rFonts w:cs="Arial"/>
        </w:rPr>
        <w:t>Das Jobcenter Passau Stadt vertritt die gleiche Rechtsauffassung und wird dieses Verfahren, auch anwenden.</w:t>
      </w:r>
    </w:p>
    <w:p w:rsidR="00DE00DB" w:rsidRPr="00993152" w:rsidRDefault="00DE00DB" w:rsidP="00E5033E">
      <w:pPr>
        <w:pStyle w:val="berschrift2"/>
        <w:numPr>
          <w:ilvl w:val="1"/>
          <w:numId w:val="16"/>
        </w:numPr>
        <w:rPr>
          <w:sz w:val="24"/>
          <w:szCs w:val="24"/>
        </w:rPr>
      </w:pPr>
      <w:r w:rsidRPr="00993152">
        <w:rPr>
          <w:sz w:val="24"/>
          <w:szCs w:val="24"/>
        </w:rPr>
        <w:lastRenderedPageBreak/>
        <w:t>Erforderliche Nachweise</w:t>
      </w:r>
    </w:p>
    <w:p w:rsidR="00DE00DB" w:rsidRPr="00993152" w:rsidRDefault="00DE00DB" w:rsidP="00DE00DB">
      <w:pPr>
        <w:ind w:left="142"/>
        <w:jc w:val="both"/>
      </w:pPr>
    </w:p>
    <w:p w:rsidR="00DE00DB" w:rsidRPr="00993152" w:rsidRDefault="00DE00DB" w:rsidP="00DE00DB">
      <w:pPr>
        <w:ind w:left="142"/>
        <w:jc w:val="both"/>
      </w:pPr>
      <w:r w:rsidRPr="00993152">
        <w:t>Nur tatsächlich entstehende Kosten der Unterkunft und Heizung</w:t>
      </w:r>
      <w:r w:rsidR="008B2061" w:rsidRPr="00993152">
        <w:t xml:space="preserve"> (KdU)</w:t>
      </w:r>
      <w:r w:rsidRPr="00993152">
        <w:t xml:space="preserve"> werden berücksichtigt. Dies ist nicht der Fall, wenn die Unterkunft unentgeltlich gewährt wird oder gewährt werden muss (z.B. dinglich gesichertes Wohnrecht). </w:t>
      </w:r>
    </w:p>
    <w:p w:rsidR="00DE00DB" w:rsidRPr="00993152" w:rsidRDefault="00DE00DB" w:rsidP="00DE00DB">
      <w:pPr>
        <w:ind w:left="142"/>
        <w:jc w:val="both"/>
      </w:pPr>
      <w:r w:rsidRPr="00993152">
        <w:t>Bei Vorliegen einer Haushaltsgemeinschaft mit Verwandten und Verschwägerten unter den Voraussetzungen des § 9 Abs. 5 SGB II wird die Unentgeltlichkeit grundsätzlich vermutet, kann aber durch den L</w:t>
      </w:r>
      <w:r w:rsidR="00B81DB0" w:rsidRPr="00993152">
        <w:t>B</w:t>
      </w:r>
      <w:r w:rsidRPr="00993152">
        <w:t xml:space="preserve"> widerlegt werden.</w:t>
      </w:r>
    </w:p>
    <w:p w:rsidR="00DE00DB" w:rsidRPr="00993152" w:rsidRDefault="00DE00DB" w:rsidP="00DE00DB">
      <w:pPr>
        <w:ind w:left="142"/>
        <w:jc w:val="both"/>
      </w:pPr>
    </w:p>
    <w:p w:rsidR="00DE00DB" w:rsidRPr="00993152" w:rsidRDefault="00DE00DB" w:rsidP="00DE00DB">
      <w:pPr>
        <w:ind w:left="142"/>
        <w:jc w:val="both"/>
      </w:pPr>
      <w:r w:rsidRPr="00993152">
        <w:t xml:space="preserve">Als Nachweis für die tatsächlichen KdU bei </w:t>
      </w:r>
      <w:r w:rsidRPr="00993152">
        <w:rPr>
          <w:b/>
        </w:rPr>
        <w:t>Mietwohnungen</w:t>
      </w:r>
      <w:r w:rsidRPr="00993152">
        <w:t xml:space="preserve"> wird die Vorlage eines Mietvertrages und einer aktuellen Mietbescheinigung (vom Vermieter auszufüllen) verlangt.</w:t>
      </w:r>
    </w:p>
    <w:p w:rsidR="00DE00DB" w:rsidRPr="00993152" w:rsidRDefault="00DE00DB" w:rsidP="00DE00DB">
      <w:pPr>
        <w:ind w:left="142"/>
        <w:jc w:val="both"/>
      </w:pPr>
      <w:r w:rsidRPr="00993152">
        <w:t>Hierauf kann nur in begründeten Einzelfällen verzichtet werden, z.B. wenn vorgetragen wird, dass</w:t>
      </w:r>
      <w:r w:rsidR="006E2D27" w:rsidRPr="00993152">
        <w:t xml:space="preserve"> der</w:t>
      </w:r>
      <w:r w:rsidRPr="00993152">
        <w:t xml:space="preserve"> Vermieter keinen schriftlichen Mietvertrag abgeschlossen hat und anhand von Kontoauszügen oder Quittungen nachgewiesen wird, dass tatsächlich Mietzahlungen erfolgen.</w:t>
      </w:r>
    </w:p>
    <w:p w:rsidR="00DE00DB" w:rsidRPr="00993152" w:rsidRDefault="00DE00DB" w:rsidP="00DE00DB">
      <w:pPr>
        <w:ind w:left="142"/>
        <w:jc w:val="both"/>
      </w:pPr>
    </w:p>
    <w:p w:rsidR="00DE00DB" w:rsidRPr="00993152" w:rsidRDefault="00DE00DB" w:rsidP="003D4761">
      <w:pPr>
        <w:ind w:left="142"/>
        <w:jc w:val="both"/>
      </w:pPr>
      <w:r w:rsidRPr="00993152">
        <w:t xml:space="preserve">Bei </w:t>
      </w:r>
      <w:r w:rsidRPr="00993152">
        <w:rPr>
          <w:b/>
        </w:rPr>
        <w:t>Eigenheimen</w:t>
      </w:r>
      <w:r w:rsidRPr="00993152">
        <w:t xml:space="preserve"> </w:t>
      </w:r>
      <w:r w:rsidR="00BF2F82" w:rsidRPr="00993152">
        <w:t>ist</w:t>
      </w:r>
      <w:r w:rsidRPr="00993152">
        <w:t xml:space="preserve"> zur Berechnung der </w:t>
      </w:r>
      <w:r w:rsidRPr="00993152">
        <w:rPr>
          <w:u w:val="single"/>
        </w:rPr>
        <w:t>Höhe der KdU</w:t>
      </w:r>
      <w:r w:rsidRPr="00993152">
        <w:t xml:space="preserve"> erforderlich: </w:t>
      </w:r>
    </w:p>
    <w:p w:rsidR="00DE00DB" w:rsidRPr="00993152" w:rsidRDefault="00DE00DB" w:rsidP="003D4761">
      <w:pPr>
        <w:ind w:left="142"/>
        <w:jc w:val="both"/>
      </w:pPr>
      <w:r w:rsidRPr="00993152">
        <w:t>Grundbuchauszug, Darlehens- bzw. Kreditvertrag an der Immobilie,</w:t>
      </w:r>
      <w:r w:rsidR="008D7A06" w:rsidRPr="00993152">
        <w:t xml:space="preserve"> Höhe der aktuellen Zinsbelastung (Kontoauszug), sowie Nachweise über die entstehenden Nebenkosten (Kaminkehrer, Versicherungen, Müllabfuhr, Wasser, Kanal </w:t>
      </w:r>
      <w:r w:rsidR="007975B3" w:rsidRPr="00993152">
        <w:t>etc.</w:t>
      </w:r>
      <w:r w:rsidR="008D7A06" w:rsidRPr="00993152">
        <w:t>).</w:t>
      </w:r>
    </w:p>
    <w:p w:rsidR="00DE00DB" w:rsidRPr="00993152" w:rsidRDefault="00DE00DB" w:rsidP="003D4761">
      <w:pPr>
        <w:ind w:left="142"/>
        <w:jc w:val="both"/>
      </w:pPr>
    </w:p>
    <w:p w:rsidR="00DE00DB" w:rsidRPr="00993152" w:rsidRDefault="00DE00DB" w:rsidP="003D4761">
      <w:pPr>
        <w:ind w:left="142"/>
        <w:jc w:val="both"/>
      </w:pPr>
      <w:r w:rsidRPr="00993152">
        <w:t>Sollten entsprechende Nachweise trotz Aufforderung und Hinweis auf die Rechtsfolgen nicht vorgelegt werden</w:t>
      </w:r>
      <w:r w:rsidR="003C4810" w:rsidRPr="00993152">
        <w:t xml:space="preserve"> (</w:t>
      </w:r>
      <w:r w:rsidR="00977657" w:rsidRPr="00993152">
        <w:rPr>
          <w:i/>
          <w:sz w:val="20"/>
          <w:szCs w:val="20"/>
        </w:rPr>
        <w:t xml:space="preserve">Textbaustein </w:t>
      </w:r>
      <w:r w:rsidR="00977657" w:rsidRPr="00993152">
        <w:t>(</w:t>
      </w:r>
      <w:r w:rsidR="003C4810" w:rsidRPr="00993152">
        <w:rPr>
          <w:i/>
          <w:sz w:val="20"/>
          <w:szCs w:val="20"/>
        </w:rPr>
        <w:t>TB</w:t>
      </w:r>
      <w:r w:rsidR="00977657" w:rsidRPr="00993152">
        <w:rPr>
          <w:i/>
          <w:sz w:val="20"/>
          <w:szCs w:val="20"/>
        </w:rPr>
        <w:t>)</w:t>
      </w:r>
      <w:r w:rsidR="003C4810" w:rsidRPr="00993152">
        <w:rPr>
          <w:i/>
          <w:sz w:val="20"/>
          <w:szCs w:val="20"/>
        </w:rPr>
        <w:t xml:space="preserve"> § 9 SGB II -10 und 11</w:t>
      </w:r>
      <w:r w:rsidR="003C4810" w:rsidRPr="00993152">
        <w:t>)</w:t>
      </w:r>
      <w:r w:rsidRPr="00993152">
        <w:t xml:space="preserve">, können die KdU (oder Teile davon) wegen nicht nachgewiesener Hilfebedürftigkeit </w:t>
      </w:r>
      <w:r w:rsidR="003C4810" w:rsidRPr="00993152">
        <w:t>(</w:t>
      </w:r>
      <w:r w:rsidR="003C4810" w:rsidRPr="00993152">
        <w:rPr>
          <w:i/>
          <w:sz w:val="20"/>
          <w:szCs w:val="20"/>
        </w:rPr>
        <w:t>TB § 9 SGB II -12 und 13</w:t>
      </w:r>
      <w:r w:rsidR="003C4810" w:rsidRPr="00993152">
        <w:t xml:space="preserve">) </w:t>
      </w:r>
      <w:r w:rsidRPr="00993152">
        <w:t>versagt werden (§ 9 Abs. 1 SGB II).</w:t>
      </w:r>
    </w:p>
    <w:p w:rsidR="00DE00DB" w:rsidRPr="00993152" w:rsidRDefault="00DE00DB" w:rsidP="00DE00DB">
      <w:pPr>
        <w:ind w:left="142"/>
        <w:jc w:val="both"/>
      </w:pPr>
    </w:p>
    <w:p w:rsidR="00C12CCD" w:rsidRPr="00993152" w:rsidRDefault="00C12CCD" w:rsidP="00883348">
      <w:pPr>
        <w:jc w:val="both"/>
        <w:rPr>
          <w:sz w:val="24"/>
          <w:szCs w:val="24"/>
        </w:rPr>
      </w:pPr>
    </w:p>
    <w:p w:rsidR="00C12CCD" w:rsidRPr="00993152" w:rsidRDefault="00C12CCD" w:rsidP="00E5033E">
      <w:pPr>
        <w:pStyle w:val="berschrift2"/>
        <w:numPr>
          <w:ilvl w:val="1"/>
          <w:numId w:val="16"/>
        </w:numPr>
        <w:rPr>
          <w:sz w:val="24"/>
          <w:szCs w:val="24"/>
        </w:rPr>
      </w:pPr>
      <w:r w:rsidRPr="00993152">
        <w:rPr>
          <w:sz w:val="24"/>
          <w:szCs w:val="24"/>
        </w:rPr>
        <w:t>Angemessene Aufwendungen (§ 22 Abs. 1 Satz 1 SGB II)</w:t>
      </w:r>
    </w:p>
    <w:p w:rsidR="00746E1F" w:rsidRPr="00993152" w:rsidRDefault="00746E1F" w:rsidP="00AC0AF6">
      <w:pPr>
        <w:jc w:val="both"/>
      </w:pPr>
      <w:r w:rsidRPr="00993152">
        <w:t>Die Angemessenheitsbeurteilung ist bezogen auf die Kaltmiete zuzüglich der Nebenkosten ohne die gesondert zu betrachtenden Heizkosten (Bruttokaltmiete).</w:t>
      </w:r>
    </w:p>
    <w:p w:rsidR="00746E1F" w:rsidRPr="00993152" w:rsidRDefault="00746E1F" w:rsidP="00AC0AF6">
      <w:pPr>
        <w:jc w:val="both"/>
      </w:pPr>
      <w:r w:rsidRPr="00993152">
        <w:t>Anhand einer korrekt ausgefüllten Mietbescheinigung ist ersichtlich, welche Kosten in die Beurteilung mit einzubeziehen sind.</w:t>
      </w:r>
    </w:p>
    <w:p w:rsidR="00A249F8" w:rsidRPr="00993152" w:rsidRDefault="00A249F8" w:rsidP="00AC0AF6">
      <w:pPr>
        <w:jc w:val="both"/>
      </w:pPr>
    </w:p>
    <w:p w:rsidR="00746E1F" w:rsidRPr="00993152" w:rsidRDefault="00746E1F" w:rsidP="00AC0AF6">
      <w:pPr>
        <w:jc w:val="both"/>
      </w:pPr>
      <w:r w:rsidRPr="00993152">
        <w:t>Folgende Kosten/Gebühren sind genauer zu betrachten:</w:t>
      </w:r>
    </w:p>
    <w:p w:rsidR="00A249F8" w:rsidRPr="00993152" w:rsidRDefault="00A249F8" w:rsidP="00AC0AF6">
      <w:pPr>
        <w:jc w:val="both"/>
      </w:pPr>
    </w:p>
    <w:p w:rsidR="00746E1F" w:rsidRPr="00993152" w:rsidRDefault="00746E1F" w:rsidP="00E5033E">
      <w:pPr>
        <w:pStyle w:val="Listenabsatz"/>
        <w:numPr>
          <w:ilvl w:val="0"/>
          <w:numId w:val="25"/>
        </w:numPr>
        <w:jc w:val="both"/>
      </w:pPr>
      <w:r w:rsidRPr="00993152">
        <w:t>Kabelanschlussgebühren gehören zur Bruttokaltmiete, wenn die Zahlungsverpflichtung durch den Mietvertrag zwingend vorgeschrieben ist oder wenn ein anderweitiger Fernsehempfang technisch nicht gewährleistet ist (vgl. BSG 19.</w:t>
      </w:r>
      <w:r w:rsidR="0033211F" w:rsidRPr="00993152">
        <w:t>0</w:t>
      </w:r>
      <w:r w:rsidRPr="00993152">
        <w:t>2.2009 – B 4 AS 48/08-)</w:t>
      </w:r>
      <w:r w:rsidR="007975B3" w:rsidRPr="00993152">
        <w:t>.</w:t>
      </w:r>
    </w:p>
    <w:p w:rsidR="00A249F8" w:rsidRPr="00993152" w:rsidRDefault="00A249F8" w:rsidP="00A249F8">
      <w:pPr>
        <w:ind w:left="360"/>
        <w:jc w:val="both"/>
      </w:pPr>
    </w:p>
    <w:p w:rsidR="00746E1F" w:rsidRPr="00993152" w:rsidRDefault="0033211F" w:rsidP="00E5033E">
      <w:pPr>
        <w:pStyle w:val="Listenabsatz"/>
        <w:numPr>
          <w:ilvl w:val="0"/>
          <w:numId w:val="25"/>
        </w:numPr>
        <w:jc w:val="both"/>
      </w:pPr>
      <w:r w:rsidRPr="00993152">
        <w:t>Zuschläge für gewerbliche oder berufliche Nutzung gehören grundsätzlich nicht zu den K</w:t>
      </w:r>
      <w:r w:rsidR="008B2061" w:rsidRPr="00993152">
        <w:t>dU</w:t>
      </w:r>
      <w:r w:rsidRPr="00993152">
        <w:t>, sondern sind bei dem jeweiligen Einkommen (z.B. bei Selbständigen) als Ausgaben in Abzug zu bringen.</w:t>
      </w:r>
    </w:p>
    <w:p w:rsidR="00A249F8" w:rsidRPr="00993152" w:rsidRDefault="00A249F8" w:rsidP="00A249F8">
      <w:pPr>
        <w:ind w:left="360"/>
        <w:jc w:val="both"/>
      </w:pPr>
    </w:p>
    <w:p w:rsidR="0033211F" w:rsidRPr="00993152" w:rsidRDefault="0033211F" w:rsidP="00E5033E">
      <w:pPr>
        <w:pStyle w:val="Listenabsatz"/>
        <w:numPr>
          <w:ilvl w:val="0"/>
          <w:numId w:val="25"/>
        </w:numPr>
        <w:jc w:val="both"/>
      </w:pPr>
      <w:r w:rsidRPr="00993152">
        <w:t xml:space="preserve">Zuschläge für Möbel, Apparate und Haushaltsgeräte </w:t>
      </w:r>
      <w:r w:rsidR="008B2061" w:rsidRPr="00993152">
        <w:t>sind im Rahmen der angemessenen KdU zu übernehmen,</w:t>
      </w:r>
      <w:r w:rsidRPr="00993152">
        <w:t xml:space="preserve"> wenn die Wohnung nur mit diesen anmietbar</w:t>
      </w:r>
      <w:r w:rsidR="008B2061" w:rsidRPr="00993152">
        <w:t xml:space="preserve"> und insgesamt die Angemessenheitsgrenze eingehalten</w:t>
      </w:r>
      <w:r w:rsidRPr="00993152">
        <w:t xml:space="preserve"> ist</w:t>
      </w:r>
      <w:r w:rsidR="00B94E06" w:rsidRPr="00993152">
        <w:t xml:space="preserve"> (vgl.</w:t>
      </w:r>
      <w:r w:rsidR="008B2061" w:rsidRPr="00993152">
        <w:t xml:space="preserve"> BSG 15.04.2008 – B 14/7b AS 58/06 R – und</w:t>
      </w:r>
      <w:r w:rsidR="00B94E06" w:rsidRPr="00993152">
        <w:t xml:space="preserve"> BSG 07.05.2009 – B 14 AS 14/08 R -)</w:t>
      </w:r>
      <w:r w:rsidR="007975B3" w:rsidRPr="00993152">
        <w:t>.</w:t>
      </w:r>
    </w:p>
    <w:p w:rsidR="00A249F8" w:rsidRDefault="00A249F8" w:rsidP="00A249F8">
      <w:pPr>
        <w:pStyle w:val="Listenabsatz"/>
      </w:pPr>
    </w:p>
    <w:p w:rsidR="001C7144" w:rsidRDefault="001C7144" w:rsidP="00A249F8">
      <w:pPr>
        <w:pStyle w:val="Listenabsatz"/>
      </w:pPr>
    </w:p>
    <w:p w:rsidR="001C7144" w:rsidRPr="00993152" w:rsidRDefault="001C7144" w:rsidP="00A249F8">
      <w:pPr>
        <w:pStyle w:val="Listenabsatz"/>
      </w:pPr>
    </w:p>
    <w:p w:rsidR="0033211F" w:rsidRPr="00993152" w:rsidRDefault="0033211F" w:rsidP="00E5033E">
      <w:pPr>
        <w:pStyle w:val="Listenabsatz"/>
        <w:numPr>
          <w:ilvl w:val="0"/>
          <w:numId w:val="25"/>
        </w:numPr>
        <w:jc w:val="both"/>
      </w:pPr>
      <w:r w:rsidRPr="00993152">
        <w:lastRenderedPageBreak/>
        <w:t>Kosten für Garage bzw. Pkw-Stellplatz sind nur zu übernehmen, wenn die Wohnung ohne diese nicht anmietbar und der Mietpreis sich bei fehlender „Abtrennbarkeit“ der Kosten noch innerhalb der Angemessenheit befindet (vgl. BSG 08.07.2011 – B 7b AS 10/06 R-</w:t>
      </w:r>
      <w:r w:rsidR="00B94E06" w:rsidRPr="00993152">
        <w:t>)</w:t>
      </w:r>
      <w:r w:rsidR="007975B3" w:rsidRPr="00993152">
        <w:t>.</w:t>
      </w:r>
      <w:r w:rsidRPr="00993152">
        <w:t xml:space="preserve"> </w:t>
      </w:r>
    </w:p>
    <w:p w:rsidR="00A249F8" w:rsidRPr="00993152" w:rsidRDefault="00A249F8" w:rsidP="00A249F8">
      <w:pPr>
        <w:pStyle w:val="Listenabsatz"/>
      </w:pPr>
    </w:p>
    <w:p w:rsidR="0033211F" w:rsidRPr="00993152" w:rsidRDefault="0033211F" w:rsidP="00E5033E">
      <w:pPr>
        <w:pStyle w:val="Listenabsatz"/>
        <w:numPr>
          <w:ilvl w:val="0"/>
          <w:numId w:val="25"/>
        </w:numPr>
        <w:jc w:val="both"/>
      </w:pPr>
      <w:r w:rsidRPr="00A9499A">
        <w:rPr>
          <w:color w:val="00B050"/>
        </w:rPr>
        <w:t>Haushaltsstrom</w:t>
      </w:r>
      <w:r w:rsidR="00A9499A" w:rsidRPr="00A9499A">
        <w:rPr>
          <w:color w:val="00B050"/>
        </w:rPr>
        <w:t xml:space="preserve"> ist in der Regelleistung enthalten und</w:t>
      </w:r>
      <w:r w:rsidRPr="00A9499A">
        <w:rPr>
          <w:color w:val="00B050"/>
        </w:rPr>
        <w:t xml:space="preserve"> gehört</w:t>
      </w:r>
      <w:r w:rsidR="00A9499A" w:rsidRPr="00A9499A">
        <w:rPr>
          <w:color w:val="00B050"/>
        </w:rPr>
        <w:t xml:space="preserve"> daher</w:t>
      </w:r>
      <w:r w:rsidRPr="00A9499A">
        <w:rPr>
          <w:color w:val="00B050"/>
        </w:rPr>
        <w:t xml:space="preserve"> nicht zu den K</w:t>
      </w:r>
      <w:r w:rsidR="008B2061" w:rsidRPr="00A9499A">
        <w:rPr>
          <w:color w:val="00B050"/>
        </w:rPr>
        <w:t>dU</w:t>
      </w:r>
      <w:r w:rsidR="00B94E06" w:rsidRPr="00A9499A">
        <w:rPr>
          <w:color w:val="00B050"/>
        </w:rPr>
        <w:t>.</w:t>
      </w:r>
      <w:r w:rsidR="00A9499A" w:rsidRPr="00A9499A">
        <w:rPr>
          <w:color w:val="00B050"/>
        </w:rPr>
        <w:t xml:space="preserve"> Kosten für Strom, die in der Mietbescheinigung ausgewiesen sind, können im Rahmen der KdU nicht berücksichtigt werden</w:t>
      </w:r>
      <w:r w:rsidR="00A9499A">
        <w:t>.</w:t>
      </w:r>
      <w:r w:rsidR="00B94E06" w:rsidRPr="00993152">
        <w:t xml:space="preserve"> K</w:t>
      </w:r>
      <w:r w:rsidRPr="00993152">
        <w:t>önnen die Stromkosten vom Vermieter der Höhe nach aber nicht ausgewiesen werden, wenn sie also in der Miete inklusive sind, darf keine Kürzung der Miete um die in der Regelleistung enthaltenen Stromanteile erfolgen (vgl. BSG 24.11.2011 – B 14 AS 151/10 R-)</w:t>
      </w:r>
      <w:r w:rsidR="007975B3" w:rsidRPr="00993152">
        <w:t>.</w:t>
      </w:r>
      <w:r w:rsidRPr="00993152">
        <w:t xml:space="preserve">  </w:t>
      </w:r>
    </w:p>
    <w:p w:rsidR="006E2D27" w:rsidRPr="00993152" w:rsidRDefault="006E2D27" w:rsidP="006E2D27">
      <w:pPr>
        <w:pStyle w:val="Listenabsatz"/>
      </w:pPr>
    </w:p>
    <w:p w:rsidR="00EF1EFF" w:rsidRPr="00993152" w:rsidRDefault="00EF1EFF" w:rsidP="00E5033E">
      <w:pPr>
        <w:pStyle w:val="Listenabsatz"/>
        <w:numPr>
          <w:ilvl w:val="0"/>
          <w:numId w:val="25"/>
        </w:numPr>
        <w:jc w:val="both"/>
        <w:rPr>
          <w:sz w:val="20"/>
        </w:rPr>
      </w:pPr>
      <w:r w:rsidRPr="00993152">
        <w:t>Zusatzkosten bei Untervermietung wie Frühstück, Zimmerreinigung, Bettwäsche oder Haushaltsstrom (wenn konkret bezifferbar, also eigener Zähler) gehören bis zur Angemessenheit zu den K</w:t>
      </w:r>
      <w:r w:rsidR="008B2061" w:rsidRPr="00993152">
        <w:t>dU</w:t>
      </w:r>
      <w:r w:rsidRPr="00993152">
        <w:t>. Die Werte der in der Mietbescheinigung bezifferten Sachbezüge (z.B. Frühstück) sind aber  in der Regel gleichzeitig als Einkommen (sonstige Einnahme</w:t>
      </w:r>
      <w:r w:rsidR="003124F7">
        <w:t>)</w:t>
      </w:r>
      <w:r w:rsidRPr="00993152">
        <w:t xml:space="preserve"> zu berücksichtigen.</w:t>
      </w:r>
    </w:p>
    <w:p w:rsidR="00AC0AF6" w:rsidRPr="00993152" w:rsidRDefault="00AC0AF6" w:rsidP="00AC0AF6">
      <w:pPr>
        <w:jc w:val="both"/>
      </w:pPr>
    </w:p>
    <w:p w:rsidR="00AC0AF6" w:rsidRDefault="00AC0AF6" w:rsidP="00564344">
      <w:pPr>
        <w:widowControl w:val="0"/>
        <w:tabs>
          <w:tab w:val="left" w:pos="3969"/>
          <w:tab w:val="left" w:pos="6804"/>
        </w:tabs>
        <w:autoSpaceDE w:val="0"/>
        <w:autoSpaceDN w:val="0"/>
        <w:adjustRightInd w:val="0"/>
        <w:jc w:val="both"/>
        <w:rPr>
          <w:rFonts w:cs="Arial"/>
        </w:rPr>
      </w:pPr>
      <w:r w:rsidRPr="00993152">
        <w:rPr>
          <w:rFonts w:cs="Arial"/>
        </w:rPr>
        <w:t>Es ist zu beachten, dass es sich bei den</w:t>
      </w:r>
      <w:r w:rsidR="000269B1" w:rsidRPr="00993152">
        <w:rPr>
          <w:rFonts w:cs="Arial"/>
        </w:rPr>
        <w:t xml:space="preserve"> unten aufgeführten</w:t>
      </w:r>
      <w:r w:rsidRPr="00993152">
        <w:rPr>
          <w:rFonts w:cs="Arial"/>
        </w:rPr>
        <w:t xml:space="preserve"> ermittelten Richtwerten um sog. Nichtprüfungsgrenzen handelt, die als Orientierung bzw. als Anhaltspunkt dienen.</w:t>
      </w:r>
      <w:r w:rsidR="000269B1" w:rsidRPr="00993152">
        <w:rPr>
          <w:rFonts w:cs="Arial"/>
        </w:rPr>
        <w:t xml:space="preserve"> Richtwerte für vorangegangene Zeiträume sind  der Anlage zu entnehmen. </w:t>
      </w:r>
      <w:r w:rsidRPr="00993152">
        <w:rPr>
          <w:rFonts w:cs="Arial"/>
        </w:rPr>
        <w:t xml:space="preserve"> Liegen die Kosten für Unterkunft, Heizung und/oder Warmwasserbereitung unterhalb der Werte, kann von angemessenen Kosten ausgegangen werden. Dann sind die tatsächlichen Kosten zu übernehmen. </w:t>
      </w:r>
    </w:p>
    <w:p w:rsidR="0092373A" w:rsidRDefault="0092373A" w:rsidP="00564344">
      <w:pPr>
        <w:widowControl w:val="0"/>
        <w:tabs>
          <w:tab w:val="left" w:pos="3969"/>
          <w:tab w:val="left" w:pos="6804"/>
        </w:tabs>
        <w:autoSpaceDE w:val="0"/>
        <w:autoSpaceDN w:val="0"/>
        <w:adjustRightInd w:val="0"/>
        <w:jc w:val="both"/>
        <w:rPr>
          <w:rFonts w:cs="Arial"/>
        </w:rPr>
      </w:pPr>
    </w:p>
    <w:p w:rsidR="0092373A" w:rsidRPr="00993152" w:rsidRDefault="0092373A" w:rsidP="0092373A">
      <w:pPr>
        <w:widowControl w:val="0"/>
        <w:tabs>
          <w:tab w:val="left" w:pos="3969"/>
          <w:tab w:val="left" w:pos="6804"/>
        </w:tabs>
        <w:autoSpaceDE w:val="0"/>
        <w:autoSpaceDN w:val="0"/>
        <w:adjustRightInd w:val="0"/>
        <w:jc w:val="both"/>
        <w:rPr>
          <w:rFonts w:cs="Arial"/>
        </w:rPr>
      </w:pPr>
      <w:r w:rsidRPr="00993152">
        <w:rPr>
          <w:rFonts w:cs="Arial"/>
        </w:rPr>
        <w:t>Werden die Richtwerte überschritten, bedeutet das nicht automatisch, dass die Kosten unangemessen sind, sondern dass eine konkrete Einzelfallprüfung vorgenommen werden muss. Die Kriterien (z.B. Rollstuhlfahrer) und das Ergebnis der Einzelfallprüfung sind aktenkundig zu machen.</w:t>
      </w:r>
    </w:p>
    <w:p w:rsidR="0092373A" w:rsidRPr="00993152" w:rsidRDefault="0092373A" w:rsidP="0092373A">
      <w:pPr>
        <w:widowControl w:val="0"/>
        <w:tabs>
          <w:tab w:val="left" w:pos="3969"/>
          <w:tab w:val="left" w:pos="6804"/>
        </w:tabs>
        <w:autoSpaceDE w:val="0"/>
        <w:autoSpaceDN w:val="0"/>
        <w:adjustRightInd w:val="0"/>
        <w:jc w:val="both"/>
        <w:rPr>
          <w:rFonts w:cs="Arial"/>
        </w:rPr>
      </w:pPr>
    </w:p>
    <w:p w:rsidR="0092373A" w:rsidRPr="003A5269" w:rsidRDefault="0092373A" w:rsidP="0092373A">
      <w:pPr>
        <w:widowControl w:val="0"/>
        <w:tabs>
          <w:tab w:val="left" w:pos="3969"/>
          <w:tab w:val="left" w:pos="6804"/>
        </w:tabs>
        <w:autoSpaceDE w:val="0"/>
        <w:autoSpaceDN w:val="0"/>
        <w:adjustRightInd w:val="0"/>
        <w:jc w:val="both"/>
      </w:pPr>
      <w:r w:rsidRPr="00993152">
        <w:rPr>
          <w:rFonts w:cs="Arial"/>
        </w:rPr>
        <w:t>Bei Einzelfällen, bei denen eine Überschreitung von mehr als 25% bei Heizkosten und mehr als 50 EUR bei der Bruttokaltmiete besteht, ist ein Teamleiter in die Entscheidung mit einzubeziehen</w:t>
      </w:r>
      <w:r w:rsidRPr="0092373A">
        <w:rPr>
          <w:rFonts w:cs="Arial"/>
          <w:color w:val="548DD4" w:themeColor="text2" w:themeTint="99"/>
        </w:rPr>
        <w:t xml:space="preserve">, </w:t>
      </w:r>
      <w:r w:rsidRPr="003A5269">
        <w:rPr>
          <w:rFonts w:cs="Arial"/>
        </w:rPr>
        <w:t>sofern beabsichtigt ist die Kosten als angemessen zu betrachten.</w:t>
      </w:r>
    </w:p>
    <w:p w:rsidR="006E2D27" w:rsidRPr="003A5269" w:rsidRDefault="006E2D27" w:rsidP="00564344">
      <w:pPr>
        <w:widowControl w:val="0"/>
        <w:tabs>
          <w:tab w:val="left" w:pos="3969"/>
          <w:tab w:val="left" w:pos="6804"/>
        </w:tabs>
        <w:autoSpaceDE w:val="0"/>
        <w:autoSpaceDN w:val="0"/>
        <w:adjustRightInd w:val="0"/>
        <w:jc w:val="both"/>
        <w:rPr>
          <w:rFonts w:cs="Arial"/>
        </w:rPr>
      </w:pPr>
    </w:p>
    <w:p w:rsidR="0092373A" w:rsidRPr="003A5269" w:rsidRDefault="0092373A" w:rsidP="00564344">
      <w:pPr>
        <w:widowControl w:val="0"/>
        <w:tabs>
          <w:tab w:val="left" w:pos="3969"/>
          <w:tab w:val="left" w:pos="6804"/>
        </w:tabs>
        <w:autoSpaceDE w:val="0"/>
        <w:autoSpaceDN w:val="0"/>
        <w:adjustRightInd w:val="0"/>
        <w:jc w:val="both"/>
        <w:rPr>
          <w:rFonts w:cs="Arial"/>
        </w:rPr>
      </w:pPr>
      <w:r w:rsidRPr="003A5269">
        <w:rPr>
          <w:rFonts w:cs="Arial"/>
        </w:rPr>
        <w:t>Bei einer nur geringfügigen Überschreitung beachte auch Nr. 1.8 dieser Hinweise.</w:t>
      </w:r>
    </w:p>
    <w:p w:rsidR="0042076D" w:rsidRPr="003A5269" w:rsidRDefault="003B1D63" w:rsidP="00F45E53">
      <w:pPr>
        <w:widowControl w:val="0"/>
        <w:tabs>
          <w:tab w:val="left" w:pos="3969"/>
          <w:tab w:val="left" w:pos="6804"/>
        </w:tabs>
        <w:autoSpaceDE w:val="0"/>
        <w:autoSpaceDN w:val="0"/>
        <w:adjustRightInd w:val="0"/>
        <w:jc w:val="both"/>
        <w:rPr>
          <w:rFonts w:cs="Arial"/>
        </w:rPr>
      </w:pPr>
      <w:r w:rsidRPr="003A5269">
        <w:rPr>
          <w:rFonts w:cs="Arial"/>
        </w:rPr>
        <w:t>Die Richtwerte gelten sowohl für Mietwohnungen als auch für selbst bewohnte Eigenheime (als Richtwert für Schuldzinsen und Nebenkosten</w:t>
      </w:r>
      <w:r w:rsidR="0092741C" w:rsidRPr="003A5269">
        <w:rPr>
          <w:rFonts w:cs="Arial"/>
        </w:rPr>
        <w:t>)</w:t>
      </w:r>
      <w:r w:rsidR="004905CF" w:rsidRPr="003A5269">
        <w:rPr>
          <w:rFonts w:cs="Arial"/>
        </w:rPr>
        <w:t xml:space="preserve">. </w:t>
      </w:r>
    </w:p>
    <w:p w:rsidR="00F45E53" w:rsidRPr="003A5269" w:rsidRDefault="004905CF" w:rsidP="00F45E53">
      <w:pPr>
        <w:widowControl w:val="0"/>
        <w:tabs>
          <w:tab w:val="left" w:pos="3969"/>
          <w:tab w:val="left" w:pos="6804"/>
        </w:tabs>
        <w:autoSpaceDE w:val="0"/>
        <w:autoSpaceDN w:val="0"/>
        <w:adjustRightInd w:val="0"/>
        <w:jc w:val="both"/>
        <w:rPr>
          <w:rFonts w:cs="Arial"/>
        </w:rPr>
      </w:pPr>
      <w:r w:rsidRPr="003A5269">
        <w:rPr>
          <w:rFonts w:cs="Arial"/>
          <w:b/>
        </w:rPr>
        <w:t>Tilgungszahlungen</w:t>
      </w:r>
      <w:r w:rsidRPr="003A5269">
        <w:rPr>
          <w:rFonts w:cs="Arial"/>
        </w:rPr>
        <w:t xml:space="preserve"> werden n</w:t>
      </w:r>
      <w:r w:rsidR="00F45E53" w:rsidRPr="003A5269">
        <w:rPr>
          <w:rFonts w:cs="Arial"/>
        </w:rPr>
        <w:t xml:space="preserve">ur in besonderen Ausnahmefällen </w:t>
      </w:r>
      <w:r w:rsidRPr="003A5269">
        <w:rPr>
          <w:rFonts w:cs="Arial"/>
        </w:rPr>
        <w:t xml:space="preserve"> berücksichtigt</w:t>
      </w:r>
      <w:r w:rsidR="00F45E53" w:rsidRPr="003A5269">
        <w:rPr>
          <w:rFonts w:cs="Arial"/>
        </w:rPr>
        <w:t>, da sie der Vermögensbildung dienen</w:t>
      </w:r>
      <w:r w:rsidR="0092741C" w:rsidRPr="003A5269">
        <w:rPr>
          <w:rFonts w:cs="Arial"/>
        </w:rPr>
        <w:t xml:space="preserve"> (</w:t>
      </w:r>
      <w:r w:rsidR="00F45E53" w:rsidRPr="003A5269">
        <w:rPr>
          <w:rFonts w:cs="Arial"/>
        </w:rPr>
        <w:t>BSG 07.7.2011 -B 14 AS 79/10 R-).</w:t>
      </w:r>
    </w:p>
    <w:p w:rsidR="0042076D" w:rsidRPr="003A5269" w:rsidRDefault="0042076D" w:rsidP="00F45E53">
      <w:pPr>
        <w:widowControl w:val="0"/>
        <w:tabs>
          <w:tab w:val="left" w:pos="3969"/>
          <w:tab w:val="left" w:pos="6804"/>
        </w:tabs>
        <w:autoSpaceDE w:val="0"/>
        <w:autoSpaceDN w:val="0"/>
        <w:adjustRightInd w:val="0"/>
        <w:jc w:val="both"/>
        <w:rPr>
          <w:rFonts w:cs="Arial"/>
        </w:rPr>
      </w:pPr>
      <w:r w:rsidRPr="003A5269">
        <w:rPr>
          <w:rFonts w:cs="Arial"/>
        </w:rPr>
        <w:t xml:space="preserve">Ebenso zählen </w:t>
      </w:r>
      <w:r w:rsidRPr="003A5269">
        <w:rPr>
          <w:rFonts w:cs="Arial"/>
          <w:b/>
        </w:rPr>
        <w:t>Leibrenten</w:t>
      </w:r>
      <w:r w:rsidRPr="003A5269">
        <w:rPr>
          <w:rFonts w:cs="Arial"/>
        </w:rPr>
        <w:t xml:space="preserve">zahlungen an vormalige Eigentümer nicht als laufende KdU, da diese zivilrechtlich als Kaufpreis betrachtet werden und daher im SGB II wie Tilgungsraten zu werten sind (BSG 04.06.2014 – B 14 AS 42/13 R-). </w:t>
      </w:r>
    </w:p>
    <w:p w:rsidR="00D07024" w:rsidRPr="003A5269" w:rsidRDefault="0024375F" w:rsidP="00732943">
      <w:pPr>
        <w:widowControl w:val="0"/>
        <w:tabs>
          <w:tab w:val="left" w:pos="3969"/>
          <w:tab w:val="left" w:pos="6804"/>
        </w:tabs>
        <w:autoSpaceDE w:val="0"/>
        <w:autoSpaceDN w:val="0"/>
        <w:adjustRightInd w:val="0"/>
        <w:jc w:val="both"/>
        <w:rPr>
          <w:rFonts w:cs="Arial"/>
        </w:rPr>
      </w:pPr>
      <w:r w:rsidRPr="003A5269">
        <w:rPr>
          <w:rFonts w:cs="Arial"/>
        </w:rPr>
        <w:t>Zu den Kosten der Unterkunft gehört im Falle von Wohneigentum in einer Eigentümergemeinschaft grundsätzlich auch das monatliche Hausgeld, bzw. Wohngeld oder Instandhaltungsrücklage /-pauschale (LSG Baden-Württemberg  26.01.2007 – L 12 AS 3932/06-).</w:t>
      </w:r>
      <w:r w:rsidR="00D07024" w:rsidRPr="003A5269">
        <w:rPr>
          <w:rFonts w:cs="Arial"/>
        </w:rPr>
        <w:t xml:space="preserve"> </w:t>
      </w:r>
    </w:p>
    <w:p w:rsidR="00D07024" w:rsidRPr="003A5269" w:rsidRDefault="00D07024" w:rsidP="00565F49">
      <w:pPr>
        <w:jc w:val="both"/>
        <w:rPr>
          <w:rFonts w:eastAsia="Times New Roman" w:cs="Arial"/>
          <w:lang w:eastAsia="de-DE"/>
        </w:rPr>
      </w:pPr>
      <w:r w:rsidRPr="003A5269">
        <w:rPr>
          <w:rFonts w:ascii="Times New Roman" w:eastAsia="Times New Roman" w:hAnsi="Times New Roman" w:cs="Times New Roman"/>
          <w:b/>
          <w:bCs/>
          <w:sz w:val="24"/>
          <w:szCs w:val="24"/>
          <w:lang w:eastAsia="de-DE"/>
        </w:rPr>
        <w:br/>
      </w:r>
      <w:r w:rsidRPr="003A5269">
        <w:rPr>
          <w:rFonts w:eastAsia="Times New Roman" w:cs="Arial"/>
          <w:lang w:eastAsia="de-DE"/>
        </w:rPr>
        <w:t>Auch Umlagen, die  Eigentümer von einer selbstgenutzten Eigentumswohnung an die Eigentümergemeinschaft zu zahlen haben und die der Erhaltung des Gebäudes dienen, gehören zu den KdU nach § 22 SGB II (BSG 18.09.2014 –B 14 AS 48/13 R-).</w:t>
      </w:r>
    </w:p>
    <w:p w:rsidR="0024375F" w:rsidRPr="003A5269" w:rsidRDefault="0024375F" w:rsidP="0024375F">
      <w:pPr>
        <w:rPr>
          <w:rFonts w:cs="Arial"/>
        </w:rPr>
      </w:pPr>
    </w:p>
    <w:p w:rsidR="00CD7BA5" w:rsidRPr="003A5269" w:rsidRDefault="00CD7BA5" w:rsidP="00F45E53">
      <w:pPr>
        <w:widowControl w:val="0"/>
        <w:tabs>
          <w:tab w:val="left" w:pos="3969"/>
          <w:tab w:val="left" w:pos="6804"/>
        </w:tabs>
        <w:autoSpaceDE w:val="0"/>
        <w:autoSpaceDN w:val="0"/>
        <w:adjustRightInd w:val="0"/>
        <w:jc w:val="both"/>
        <w:rPr>
          <w:rFonts w:cs="Arial"/>
        </w:rPr>
      </w:pPr>
      <w:r w:rsidRPr="003A5269">
        <w:rPr>
          <w:rFonts w:cs="Arial"/>
        </w:rPr>
        <w:t xml:space="preserve">Die </w:t>
      </w:r>
      <w:r w:rsidRPr="003A5269">
        <w:rPr>
          <w:rFonts w:cs="Arial"/>
          <w:b/>
        </w:rPr>
        <w:t>ratenweise Kaufpreiszahlung</w:t>
      </w:r>
      <w:r w:rsidRPr="003A5269">
        <w:rPr>
          <w:rFonts w:cs="Arial"/>
        </w:rPr>
        <w:t xml:space="preserve"> eines Eigenheimes </w:t>
      </w:r>
      <w:r w:rsidR="00C60E9D" w:rsidRPr="003A5269">
        <w:rPr>
          <w:rFonts w:cs="Arial"/>
        </w:rPr>
        <w:t xml:space="preserve">(z.B. Mietkauf) </w:t>
      </w:r>
      <w:r w:rsidRPr="003A5269">
        <w:rPr>
          <w:rFonts w:cs="Arial"/>
        </w:rPr>
        <w:t>steht Tilgungszahlungen gleich, den auch dies führt bei wirtschaftlicher Betrachtungsweise zur Mehrung des Vermögens (BSG 16.02.2012 – B 4 AS 14/11 R-).</w:t>
      </w:r>
    </w:p>
    <w:p w:rsidR="00F24DC1" w:rsidRPr="00993152" w:rsidRDefault="00F24DC1" w:rsidP="00E5033E">
      <w:pPr>
        <w:pStyle w:val="berschrift4"/>
        <w:numPr>
          <w:ilvl w:val="2"/>
          <w:numId w:val="16"/>
        </w:numPr>
        <w:rPr>
          <w:sz w:val="24"/>
          <w:szCs w:val="24"/>
        </w:rPr>
      </w:pPr>
      <w:r w:rsidRPr="00993152">
        <w:rPr>
          <w:sz w:val="24"/>
          <w:szCs w:val="24"/>
        </w:rPr>
        <w:lastRenderedPageBreak/>
        <w:t>Angemessene Unterkunftskosten</w:t>
      </w:r>
    </w:p>
    <w:p w:rsidR="00F24DC1" w:rsidRPr="00993152" w:rsidRDefault="00F24DC1" w:rsidP="00564344">
      <w:pPr>
        <w:jc w:val="both"/>
        <w:rPr>
          <w:rFonts w:cs="Arial"/>
        </w:rPr>
      </w:pPr>
    </w:p>
    <w:p w:rsidR="00F24DC1" w:rsidRPr="00993152" w:rsidRDefault="00F24DC1" w:rsidP="00564344">
      <w:pPr>
        <w:jc w:val="both"/>
        <w:rPr>
          <w:rFonts w:cs="Arial"/>
        </w:rPr>
      </w:pPr>
      <w:r w:rsidRPr="00993152">
        <w:rPr>
          <w:rFonts w:cs="Arial"/>
        </w:rPr>
        <w:t xml:space="preserve">Bei der Bestimmung der angemessenen Unterkunftskosten wurden die konkreten örtlichen Gegebenheiten auf dem Wohnungsmarkt im Landkreis Passau berücksichtigt (Wohnungsmieten privater Vermieter und Wohnungsbaugenossenschaften), wobei auf den unteren Bereich der marktüblichen Wohnungsmieten abzustellen </w:t>
      </w:r>
      <w:r w:rsidR="0092741C" w:rsidRPr="00993152">
        <w:rPr>
          <w:rFonts w:cs="Arial"/>
        </w:rPr>
        <w:t>ist</w:t>
      </w:r>
      <w:r w:rsidRPr="00993152">
        <w:rPr>
          <w:rFonts w:cs="Arial"/>
        </w:rPr>
        <w:t xml:space="preserve"> (vgl. B</w:t>
      </w:r>
      <w:r w:rsidR="00F45E53" w:rsidRPr="00993152">
        <w:rPr>
          <w:rFonts w:cs="Arial"/>
        </w:rPr>
        <w:t>SG</w:t>
      </w:r>
      <w:r w:rsidRPr="00993152">
        <w:rPr>
          <w:rFonts w:cs="Arial"/>
        </w:rPr>
        <w:t xml:space="preserve"> 07.11.2006 - B 7b AS 18/06 R</w:t>
      </w:r>
      <w:r w:rsidR="00977657" w:rsidRPr="00993152">
        <w:rPr>
          <w:rFonts w:cs="Arial"/>
        </w:rPr>
        <w:t>-</w:t>
      </w:r>
      <w:r w:rsidRPr="00993152">
        <w:rPr>
          <w:rFonts w:cs="Arial"/>
        </w:rPr>
        <w:t xml:space="preserve">). </w:t>
      </w:r>
    </w:p>
    <w:p w:rsidR="00F24DC1" w:rsidRPr="00993152" w:rsidRDefault="00F24DC1" w:rsidP="00564344">
      <w:pPr>
        <w:jc w:val="both"/>
        <w:rPr>
          <w:rFonts w:cs="Arial"/>
        </w:rPr>
      </w:pPr>
    </w:p>
    <w:p w:rsidR="00F24DC1" w:rsidRPr="00993152" w:rsidRDefault="00F24DC1" w:rsidP="00564344">
      <w:pPr>
        <w:jc w:val="both"/>
        <w:rPr>
          <w:rFonts w:cs="Arial"/>
        </w:rPr>
      </w:pPr>
      <w:r w:rsidRPr="00993152">
        <w:rPr>
          <w:rFonts w:cs="Arial"/>
        </w:rPr>
        <w:t xml:space="preserve">Die Beträge in </w:t>
      </w:r>
      <w:r w:rsidR="0092741C" w:rsidRPr="00993152">
        <w:rPr>
          <w:rFonts w:cs="Arial"/>
        </w:rPr>
        <w:t xml:space="preserve">den </w:t>
      </w:r>
      <w:r w:rsidRPr="00993152">
        <w:rPr>
          <w:rFonts w:cs="Arial"/>
        </w:rPr>
        <w:t>folgenden Tabellen beinhalten den Mietzins (Kaltmiete)</w:t>
      </w:r>
      <w:r w:rsidR="003B1D63" w:rsidRPr="00993152">
        <w:rPr>
          <w:rFonts w:cs="Arial"/>
        </w:rPr>
        <w:t xml:space="preserve">, </w:t>
      </w:r>
      <w:r w:rsidRPr="00993152">
        <w:rPr>
          <w:rFonts w:cs="Arial"/>
        </w:rPr>
        <w:t xml:space="preserve"> </w:t>
      </w:r>
      <w:r w:rsidRPr="00993152">
        <w:rPr>
          <w:rFonts w:cs="Arial"/>
          <w:u w:val="single"/>
        </w:rPr>
        <w:t>einschließlich</w:t>
      </w:r>
      <w:r w:rsidRPr="00993152">
        <w:rPr>
          <w:rFonts w:cs="Arial"/>
        </w:rPr>
        <w:t xml:space="preserve"> der Betriebskosten </w:t>
      </w:r>
      <w:r w:rsidRPr="00993152">
        <w:rPr>
          <w:rFonts w:cs="Arial"/>
          <w:u w:val="single"/>
        </w:rPr>
        <w:t>ohne</w:t>
      </w:r>
      <w:r w:rsidRPr="00993152">
        <w:rPr>
          <w:rFonts w:cs="Arial"/>
        </w:rPr>
        <w:t xml:space="preserve"> die Kosten der Zentral-/Fernheizung und Warmwasser (= sog. Bruttokaltmiete)</w:t>
      </w:r>
      <w:r w:rsidR="002469FF" w:rsidRPr="00993152">
        <w:rPr>
          <w:rFonts w:cs="Arial"/>
        </w:rPr>
        <w:t xml:space="preserve"> für die Zeit ab 01.01.201</w:t>
      </w:r>
      <w:r w:rsidR="004D14FE" w:rsidRPr="00993152">
        <w:rPr>
          <w:rFonts w:cs="Arial"/>
        </w:rPr>
        <w:t>4</w:t>
      </w:r>
      <w:r w:rsidRPr="00993152">
        <w:rPr>
          <w:rFonts w:cs="Arial"/>
        </w:rPr>
        <w:t xml:space="preserve">: </w:t>
      </w:r>
    </w:p>
    <w:p w:rsidR="000269B1" w:rsidRPr="00993152" w:rsidRDefault="000269B1" w:rsidP="00564344">
      <w:pPr>
        <w:jc w:val="both"/>
        <w:rPr>
          <w:rFonts w:cs="Arial"/>
        </w:rPr>
      </w:pPr>
    </w:p>
    <w:p w:rsidR="00E17C4A" w:rsidRPr="00993152" w:rsidRDefault="00E17C4A" w:rsidP="00F24DC1">
      <w:pPr>
        <w:rPr>
          <w:rFonts w:cs="Arial"/>
          <w:sz w:val="28"/>
          <w:szCs w:val="28"/>
        </w:rPr>
      </w:pPr>
    </w:p>
    <w:p w:rsidR="004D14FE" w:rsidRPr="00993152" w:rsidRDefault="004D14FE" w:rsidP="004D14FE">
      <w:pPr>
        <w:jc w:val="both"/>
        <w:rPr>
          <w:b/>
          <w:sz w:val="24"/>
          <w:szCs w:val="24"/>
          <w:u w:val="single"/>
        </w:rPr>
      </w:pPr>
      <w:r w:rsidRPr="00993152">
        <w:rPr>
          <w:b/>
          <w:sz w:val="24"/>
          <w:szCs w:val="24"/>
        </w:rPr>
        <w:t xml:space="preserve">  </w:t>
      </w:r>
      <w:r w:rsidRPr="00993152">
        <w:rPr>
          <w:b/>
          <w:sz w:val="24"/>
          <w:szCs w:val="24"/>
          <w:u w:val="single"/>
        </w:rPr>
        <w:t xml:space="preserve">Angemessene Bruttokaltmieten im Landkreis Passau Richtwerte ab </w:t>
      </w:r>
    </w:p>
    <w:p w:rsidR="004D14FE" w:rsidRDefault="004D14FE" w:rsidP="004D14FE">
      <w:pPr>
        <w:jc w:val="both"/>
        <w:rPr>
          <w:b/>
          <w:sz w:val="24"/>
          <w:szCs w:val="24"/>
          <w:u w:val="single"/>
        </w:rPr>
      </w:pPr>
      <w:r w:rsidRPr="00993152">
        <w:rPr>
          <w:b/>
          <w:sz w:val="24"/>
          <w:szCs w:val="24"/>
        </w:rPr>
        <w:t xml:space="preserve">                                                     </w:t>
      </w:r>
      <w:r w:rsidRPr="00993152">
        <w:rPr>
          <w:b/>
          <w:sz w:val="24"/>
          <w:szCs w:val="24"/>
          <w:u w:val="single"/>
        </w:rPr>
        <w:t>01.0</w:t>
      </w:r>
      <w:r w:rsidR="008C2A00">
        <w:rPr>
          <w:b/>
          <w:sz w:val="24"/>
          <w:szCs w:val="24"/>
          <w:u w:val="single"/>
        </w:rPr>
        <w:t>3</w:t>
      </w:r>
      <w:r w:rsidRPr="00993152">
        <w:rPr>
          <w:b/>
          <w:sz w:val="24"/>
          <w:szCs w:val="24"/>
          <w:u w:val="single"/>
        </w:rPr>
        <w:t>.201</w:t>
      </w:r>
      <w:r w:rsidR="008C2A00">
        <w:rPr>
          <w:b/>
          <w:sz w:val="24"/>
          <w:szCs w:val="24"/>
          <w:u w:val="single"/>
        </w:rPr>
        <w:t>6</w:t>
      </w:r>
    </w:p>
    <w:p w:rsidR="008C2A00" w:rsidRDefault="008C2A00" w:rsidP="004D14FE">
      <w:pPr>
        <w:jc w:val="both"/>
        <w:rPr>
          <w:b/>
          <w:sz w:val="24"/>
          <w:szCs w:val="24"/>
          <w:u w:val="single"/>
        </w:rPr>
      </w:pPr>
    </w:p>
    <w:tbl>
      <w:tblPr>
        <w:tblW w:w="9000" w:type="dxa"/>
        <w:tblInd w:w="28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ayout w:type="fixed"/>
        <w:tblLook w:val="01E0" w:firstRow="1" w:lastRow="1" w:firstColumn="1" w:lastColumn="1" w:noHBand="0" w:noVBand="0"/>
      </w:tblPr>
      <w:tblGrid>
        <w:gridCol w:w="2702"/>
        <w:gridCol w:w="1996"/>
        <w:gridCol w:w="2144"/>
        <w:gridCol w:w="2158"/>
      </w:tblGrid>
      <w:tr w:rsidR="008C2A00" w:rsidTr="008C2A00">
        <w:tc>
          <w:tcPr>
            <w:tcW w:w="9000" w:type="dxa"/>
            <w:gridSpan w:val="4"/>
            <w:tcBorders>
              <w:top w:val="single" w:sz="4" w:space="0" w:color="999999"/>
              <w:left w:val="single" w:sz="4" w:space="0" w:color="999999"/>
              <w:bottom w:val="single" w:sz="6" w:space="0" w:color="999999"/>
              <w:right w:val="single" w:sz="4" w:space="0" w:color="999999"/>
            </w:tcBorders>
            <w:shd w:val="clear" w:color="auto" w:fill="C0C0C0"/>
            <w:hideMark/>
          </w:tcPr>
          <w:p w:rsidR="008C2A00" w:rsidRDefault="008C2A00">
            <w:pPr>
              <w:rPr>
                <w:rFonts w:cs="Arial"/>
                <w:b/>
              </w:rPr>
            </w:pPr>
            <w:r>
              <w:rPr>
                <w:b/>
                <w:u w:val="single"/>
              </w:rPr>
              <w:t>Region I</w:t>
            </w:r>
            <w:r>
              <w:rPr>
                <w:b/>
              </w:rPr>
              <w:t xml:space="preserve">:  </w:t>
            </w:r>
          </w:p>
          <w:p w:rsidR="008C2A00" w:rsidRDefault="008C2A00">
            <w:pPr>
              <w:rPr>
                <w:rFonts w:cs="Arial"/>
                <w:u w:val="single"/>
              </w:rPr>
            </w:pPr>
            <w:r>
              <w:t>Bad Griesbach i. Rottal, Haarbach, Neuburg a. Inn, Neuhaus a. Inn, Obernzell, Pocking, Ruderting, Salzweg, Tettenweis, Thyrnau, Tiefenbach</w:t>
            </w:r>
          </w:p>
        </w:tc>
      </w:tr>
      <w:tr w:rsidR="008C2A00" w:rsidTr="008C2A00">
        <w:tc>
          <w:tcPr>
            <w:tcW w:w="2702" w:type="dxa"/>
            <w:tcBorders>
              <w:top w:val="single" w:sz="6" w:space="0" w:color="999999"/>
              <w:left w:val="single" w:sz="4" w:space="0" w:color="999999"/>
              <w:bottom w:val="single" w:sz="6" w:space="0" w:color="999999"/>
              <w:right w:val="single" w:sz="6" w:space="0" w:color="999999"/>
            </w:tcBorders>
          </w:tcPr>
          <w:p w:rsidR="008C2A00" w:rsidRDefault="008C2A00">
            <w:pPr>
              <w:jc w:val="center"/>
              <w:rPr>
                <w:rFonts w:cs="Arial"/>
              </w:rPr>
            </w:pPr>
          </w:p>
          <w:p w:rsidR="008C2A00" w:rsidRDefault="008C2A00">
            <w:pPr>
              <w:jc w:val="center"/>
              <w:rPr>
                <w:rFonts w:cs="Arial"/>
              </w:rPr>
            </w:pPr>
            <w:r>
              <w:t>Anzahl Personen</w:t>
            </w:r>
          </w:p>
        </w:tc>
        <w:tc>
          <w:tcPr>
            <w:tcW w:w="1996" w:type="dxa"/>
            <w:tcBorders>
              <w:top w:val="single" w:sz="6" w:space="0" w:color="999999"/>
              <w:left w:val="single" w:sz="6" w:space="0" w:color="999999"/>
              <w:bottom w:val="single" w:sz="6" w:space="0" w:color="999999"/>
              <w:right w:val="single" w:sz="6" w:space="0" w:color="999999"/>
            </w:tcBorders>
          </w:tcPr>
          <w:p w:rsidR="008C2A00" w:rsidRDefault="008C2A00">
            <w:pPr>
              <w:jc w:val="center"/>
              <w:rPr>
                <w:rFonts w:cs="Arial"/>
              </w:rPr>
            </w:pPr>
          </w:p>
          <w:p w:rsidR="008C2A00" w:rsidRDefault="008C2A00">
            <w:pPr>
              <w:jc w:val="center"/>
              <w:rPr>
                <w:rFonts w:cs="Arial"/>
              </w:rPr>
            </w:pPr>
            <w:r>
              <w:t>angemessene Wohnungsgröße</w:t>
            </w:r>
          </w:p>
        </w:tc>
        <w:tc>
          <w:tcPr>
            <w:tcW w:w="2144" w:type="dxa"/>
            <w:tcBorders>
              <w:top w:val="single" w:sz="6" w:space="0" w:color="999999"/>
              <w:left w:val="single" w:sz="6" w:space="0" w:color="999999"/>
              <w:bottom w:val="single" w:sz="6" w:space="0" w:color="999999"/>
              <w:right w:val="single" w:sz="6" w:space="0" w:color="999999"/>
            </w:tcBorders>
          </w:tcPr>
          <w:p w:rsidR="008C2A00" w:rsidRDefault="008C2A00">
            <w:pPr>
              <w:jc w:val="center"/>
              <w:rPr>
                <w:rFonts w:cs="Arial"/>
              </w:rPr>
            </w:pPr>
          </w:p>
          <w:p w:rsidR="008C2A00" w:rsidRDefault="008C2A00">
            <w:pPr>
              <w:jc w:val="center"/>
            </w:pPr>
            <w:r>
              <w:t>Bruttokaltmiete/</w:t>
            </w:r>
          </w:p>
          <w:p w:rsidR="008C2A00" w:rsidRDefault="008C2A00">
            <w:pPr>
              <w:jc w:val="center"/>
              <w:rPr>
                <w:rFonts w:cs="Arial"/>
              </w:rPr>
            </w:pPr>
            <w:r>
              <w:t>m² in EUR</w:t>
            </w:r>
          </w:p>
        </w:tc>
        <w:tc>
          <w:tcPr>
            <w:tcW w:w="2158" w:type="dxa"/>
            <w:tcBorders>
              <w:top w:val="single" w:sz="6" w:space="0" w:color="999999"/>
              <w:left w:val="single" w:sz="6" w:space="0" w:color="999999"/>
              <w:bottom w:val="single" w:sz="6" w:space="0" w:color="999999"/>
              <w:right w:val="single" w:sz="4" w:space="0" w:color="999999"/>
            </w:tcBorders>
          </w:tcPr>
          <w:p w:rsidR="008C2A00" w:rsidRDefault="008C2A00">
            <w:pPr>
              <w:jc w:val="center"/>
              <w:rPr>
                <w:rFonts w:cs="Arial"/>
              </w:rPr>
            </w:pPr>
          </w:p>
          <w:p w:rsidR="008C2A00" w:rsidRDefault="008C2A00">
            <w:pPr>
              <w:jc w:val="center"/>
            </w:pPr>
            <w:r>
              <w:t>angemessene</w:t>
            </w:r>
          </w:p>
          <w:p w:rsidR="008C2A00" w:rsidRDefault="008C2A00">
            <w:pPr>
              <w:jc w:val="center"/>
            </w:pPr>
            <w:r>
              <w:t>Bruttokaltmiete</w:t>
            </w:r>
          </w:p>
          <w:p w:rsidR="008C2A00" w:rsidRDefault="008C2A00">
            <w:pPr>
              <w:jc w:val="center"/>
              <w:rPr>
                <w:rFonts w:cs="Arial"/>
              </w:rPr>
            </w:pPr>
            <w:r>
              <w:t xml:space="preserve">in EUR </w:t>
            </w:r>
          </w:p>
        </w:tc>
      </w:tr>
      <w:tr w:rsidR="008C2A00" w:rsidTr="008C2A00">
        <w:tc>
          <w:tcPr>
            <w:tcW w:w="2702" w:type="dxa"/>
            <w:tcBorders>
              <w:top w:val="single" w:sz="6" w:space="0" w:color="999999"/>
              <w:left w:val="single" w:sz="4" w:space="0" w:color="999999"/>
              <w:bottom w:val="single" w:sz="6" w:space="0" w:color="999999"/>
              <w:right w:val="single" w:sz="6" w:space="0" w:color="999999"/>
            </w:tcBorders>
          </w:tcPr>
          <w:p w:rsidR="008C2A00" w:rsidRDefault="008C2A00">
            <w:pPr>
              <w:jc w:val="both"/>
              <w:rPr>
                <w:rFonts w:cs="Arial"/>
              </w:rPr>
            </w:pPr>
          </w:p>
        </w:tc>
        <w:tc>
          <w:tcPr>
            <w:tcW w:w="1996" w:type="dxa"/>
            <w:tcBorders>
              <w:top w:val="single" w:sz="6" w:space="0" w:color="999999"/>
              <w:left w:val="single" w:sz="6" w:space="0" w:color="999999"/>
              <w:bottom w:val="single" w:sz="6" w:space="0" w:color="999999"/>
              <w:right w:val="single" w:sz="6" w:space="0" w:color="999999"/>
            </w:tcBorders>
          </w:tcPr>
          <w:p w:rsidR="008C2A00" w:rsidRDefault="008C2A00">
            <w:pPr>
              <w:jc w:val="both"/>
              <w:rPr>
                <w:rFonts w:cs="Arial"/>
              </w:rPr>
            </w:pPr>
          </w:p>
        </w:tc>
        <w:tc>
          <w:tcPr>
            <w:tcW w:w="2144" w:type="dxa"/>
            <w:tcBorders>
              <w:top w:val="single" w:sz="6" w:space="0" w:color="999999"/>
              <w:left w:val="single" w:sz="6" w:space="0" w:color="999999"/>
              <w:bottom w:val="single" w:sz="6" w:space="0" w:color="999999"/>
              <w:right w:val="single" w:sz="6" w:space="0" w:color="999999"/>
            </w:tcBorders>
          </w:tcPr>
          <w:p w:rsidR="008C2A00" w:rsidRDefault="008C2A00">
            <w:pPr>
              <w:jc w:val="both"/>
              <w:rPr>
                <w:rFonts w:cs="Arial"/>
              </w:rPr>
            </w:pPr>
          </w:p>
        </w:tc>
        <w:tc>
          <w:tcPr>
            <w:tcW w:w="2158" w:type="dxa"/>
            <w:tcBorders>
              <w:top w:val="single" w:sz="6" w:space="0" w:color="999999"/>
              <w:left w:val="single" w:sz="6" w:space="0" w:color="999999"/>
              <w:bottom w:val="single" w:sz="6" w:space="0" w:color="999999"/>
              <w:right w:val="single" w:sz="4" w:space="0" w:color="999999"/>
            </w:tcBorders>
          </w:tcPr>
          <w:p w:rsidR="008C2A00" w:rsidRDefault="008C2A00">
            <w:pPr>
              <w:jc w:val="center"/>
              <w:rPr>
                <w:rFonts w:cs="Arial"/>
              </w:rPr>
            </w:pPr>
          </w:p>
        </w:tc>
      </w:tr>
      <w:tr w:rsidR="008C2A00" w:rsidTr="008C2A00">
        <w:tc>
          <w:tcPr>
            <w:tcW w:w="2702"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1 Person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bis 50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6,51</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326,00</w:t>
            </w:r>
          </w:p>
        </w:tc>
      </w:tr>
      <w:tr w:rsidR="008C2A00" w:rsidTr="008C2A00">
        <w:tc>
          <w:tcPr>
            <w:tcW w:w="2702"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2 Personen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51 m² bis 65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6,10</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397,00</w:t>
            </w:r>
          </w:p>
        </w:tc>
      </w:tr>
      <w:tr w:rsidR="008C2A00" w:rsidTr="008C2A00">
        <w:tc>
          <w:tcPr>
            <w:tcW w:w="2702"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3 Personen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66 m² bis 75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6,07</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456,00</w:t>
            </w:r>
          </w:p>
        </w:tc>
      </w:tr>
      <w:tr w:rsidR="008C2A00" w:rsidTr="008C2A00">
        <w:tc>
          <w:tcPr>
            <w:tcW w:w="2702"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4 Personen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76 m² bis 90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6,13</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552,00</w:t>
            </w:r>
          </w:p>
        </w:tc>
      </w:tr>
      <w:tr w:rsidR="008C2A00" w:rsidTr="008C2A00">
        <w:tc>
          <w:tcPr>
            <w:tcW w:w="2702" w:type="dxa"/>
            <w:tcBorders>
              <w:top w:val="single" w:sz="6" w:space="0" w:color="999999"/>
              <w:left w:val="single" w:sz="4" w:space="0" w:color="999999"/>
              <w:bottom w:val="single" w:sz="4" w:space="0" w:color="999999"/>
              <w:right w:val="single" w:sz="6" w:space="0" w:color="999999"/>
            </w:tcBorders>
            <w:hideMark/>
          </w:tcPr>
          <w:p w:rsidR="008C2A00" w:rsidRDefault="008C2A00">
            <w:pPr>
              <w:rPr>
                <w:rFonts w:cs="Arial"/>
              </w:rPr>
            </w:pPr>
            <w:r>
              <w:t>für jeden weiteren Haushaltsangehörigen</w:t>
            </w:r>
          </w:p>
        </w:tc>
        <w:tc>
          <w:tcPr>
            <w:tcW w:w="1996" w:type="dxa"/>
            <w:tcBorders>
              <w:top w:val="single" w:sz="6" w:space="0" w:color="999999"/>
              <w:left w:val="single" w:sz="6" w:space="0" w:color="999999"/>
              <w:bottom w:val="single" w:sz="4" w:space="0" w:color="999999"/>
              <w:right w:val="single" w:sz="6" w:space="0" w:color="999999"/>
            </w:tcBorders>
            <w:hideMark/>
          </w:tcPr>
          <w:p w:rsidR="008C2A00" w:rsidRDefault="008C2A00">
            <w:pPr>
              <w:jc w:val="both"/>
              <w:rPr>
                <w:rFonts w:cs="Arial"/>
              </w:rPr>
            </w:pPr>
            <w:r>
              <w:t>zzgl. 15 m²</w:t>
            </w:r>
          </w:p>
        </w:tc>
        <w:tc>
          <w:tcPr>
            <w:tcW w:w="2144" w:type="dxa"/>
            <w:tcBorders>
              <w:top w:val="single" w:sz="6" w:space="0" w:color="999999"/>
              <w:left w:val="single" w:sz="6" w:space="0" w:color="999999"/>
              <w:bottom w:val="single" w:sz="4" w:space="0" w:color="999999"/>
              <w:right w:val="single" w:sz="6" w:space="0" w:color="999999"/>
            </w:tcBorders>
            <w:hideMark/>
          </w:tcPr>
          <w:p w:rsidR="008C2A00" w:rsidRPr="007A6096" w:rsidRDefault="008C2A00">
            <w:pPr>
              <w:jc w:val="center"/>
              <w:rPr>
                <w:rFonts w:cs="Arial"/>
              </w:rPr>
            </w:pPr>
            <w:r w:rsidRPr="007A6096">
              <w:t>6,13</w:t>
            </w:r>
          </w:p>
        </w:tc>
        <w:tc>
          <w:tcPr>
            <w:tcW w:w="2158" w:type="dxa"/>
            <w:tcBorders>
              <w:top w:val="single" w:sz="6" w:space="0" w:color="999999"/>
              <w:left w:val="single" w:sz="6" w:space="0" w:color="999999"/>
              <w:bottom w:val="single" w:sz="4" w:space="0" w:color="999999"/>
              <w:right w:val="single" w:sz="4" w:space="0" w:color="999999"/>
            </w:tcBorders>
            <w:hideMark/>
          </w:tcPr>
          <w:p w:rsidR="008C2A00" w:rsidRPr="007A6096" w:rsidRDefault="008C2A00">
            <w:pPr>
              <w:jc w:val="center"/>
              <w:rPr>
                <w:rFonts w:cs="Arial"/>
              </w:rPr>
            </w:pPr>
            <w:r w:rsidRPr="007A6096">
              <w:t>92,00</w:t>
            </w:r>
          </w:p>
        </w:tc>
      </w:tr>
    </w:tbl>
    <w:p w:rsidR="008C2A00" w:rsidRDefault="008C2A00" w:rsidP="008C2A00">
      <w:pPr>
        <w:jc w:val="both"/>
        <w:rPr>
          <w:rFonts w:cs="Arial"/>
        </w:rPr>
      </w:pPr>
    </w:p>
    <w:p w:rsidR="008C2A00" w:rsidRDefault="008C2A00" w:rsidP="008C2A00">
      <w:pPr>
        <w:jc w:val="both"/>
        <w:rPr>
          <w:u w:val="single"/>
        </w:rPr>
      </w:pPr>
    </w:p>
    <w:tbl>
      <w:tblPr>
        <w:tblW w:w="0" w:type="auto"/>
        <w:tblInd w:w="28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2700"/>
        <w:gridCol w:w="1996"/>
        <w:gridCol w:w="2144"/>
        <w:gridCol w:w="2158"/>
      </w:tblGrid>
      <w:tr w:rsidR="008C2A00" w:rsidTr="008C2A00">
        <w:tc>
          <w:tcPr>
            <w:tcW w:w="8998" w:type="dxa"/>
            <w:gridSpan w:val="4"/>
            <w:tcBorders>
              <w:top w:val="single" w:sz="4" w:space="0" w:color="999999"/>
              <w:left w:val="single" w:sz="4" w:space="0" w:color="999999"/>
              <w:bottom w:val="single" w:sz="6" w:space="0" w:color="999999"/>
              <w:right w:val="single" w:sz="4" w:space="0" w:color="999999"/>
            </w:tcBorders>
            <w:shd w:val="clear" w:color="auto" w:fill="C0C0C0"/>
            <w:hideMark/>
          </w:tcPr>
          <w:p w:rsidR="008C2A00" w:rsidRDefault="008C2A00">
            <w:pPr>
              <w:rPr>
                <w:rFonts w:cs="Arial"/>
              </w:rPr>
            </w:pPr>
            <w:r>
              <w:rPr>
                <w:b/>
                <w:u w:val="single"/>
              </w:rPr>
              <w:t>Region II</w:t>
            </w:r>
            <w:r>
              <w:t xml:space="preserve">:  </w:t>
            </w:r>
          </w:p>
          <w:p w:rsidR="008C2A00" w:rsidRDefault="008C2A00">
            <w:pPr>
              <w:rPr>
                <w:rFonts w:cs="Arial"/>
              </w:rPr>
            </w:pPr>
            <w:r>
              <w:t>Aicha v. Wald, Aidenbach, Aldersbach, Bad Füssing, Beutelsbach, Breitenberg, Büchlberg, Eging a. See, Fürstenstein, Fürstenzell, Hauzenberg, Hofkirchen, Hutthurm, Kirchham, Kößlarn, Malching, Neukirchen v. Wald, Ortenburg, Rotthalmünster, Ruhstorf a. d. Rott, Sonnen, Tittling, Untergriesbach, Vilshofen a. d. Donau, Wegscheid, Windorf, Witzmannsberg</w:t>
            </w:r>
          </w:p>
        </w:tc>
      </w:tr>
      <w:tr w:rsidR="008C2A00" w:rsidTr="008C2A00">
        <w:tc>
          <w:tcPr>
            <w:tcW w:w="2700" w:type="dxa"/>
            <w:tcBorders>
              <w:top w:val="single" w:sz="6" w:space="0" w:color="999999"/>
              <w:left w:val="single" w:sz="4" w:space="0" w:color="999999"/>
              <w:bottom w:val="single" w:sz="6" w:space="0" w:color="999999"/>
              <w:right w:val="single" w:sz="6" w:space="0" w:color="999999"/>
            </w:tcBorders>
          </w:tcPr>
          <w:p w:rsidR="008C2A00" w:rsidRDefault="008C2A00">
            <w:pPr>
              <w:jc w:val="center"/>
              <w:rPr>
                <w:rFonts w:cs="Arial"/>
              </w:rPr>
            </w:pPr>
          </w:p>
          <w:p w:rsidR="008C2A00" w:rsidRDefault="008C2A00">
            <w:pPr>
              <w:jc w:val="center"/>
              <w:rPr>
                <w:rFonts w:cs="Arial"/>
              </w:rPr>
            </w:pPr>
            <w:r>
              <w:t>Anzahl Personen</w:t>
            </w:r>
          </w:p>
        </w:tc>
        <w:tc>
          <w:tcPr>
            <w:tcW w:w="1996" w:type="dxa"/>
            <w:tcBorders>
              <w:top w:val="single" w:sz="6" w:space="0" w:color="999999"/>
              <w:left w:val="single" w:sz="6" w:space="0" w:color="999999"/>
              <w:bottom w:val="single" w:sz="6" w:space="0" w:color="999999"/>
              <w:right w:val="single" w:sz="6" w:space="0" w:color="999999"/>
            </w:tcBorders>
          </w:tcPr>
          <w:p w:rsidR="008C2A00" w:rsidRDefault="008C2A00">
            <w:pPr>
              <w:jc w:val="center"/>
              <w:rPr>
                <w:rFonts w:cs="Arial"/>
              </w:rPr>
            </w:pPr>
          </w:p>
          <w:p w:rsidR="008C2A00" w:rsidRDefault="008C2A00">
            <w:pPr>
              <w:jc w:val="center"/>
              <w:rPr>
                <w:rFonts w:cs="Arial"/>
              </w:rPr>
            </w:pPr>
            <w:r>
              <w:t>angemessene Wohnungsgröße</w:t>
            </w:r>
          </w:p>
        </w:tc>
        <w:tc>
          <w:tcPr>
            <w:tcW w:w="2144" w:type="dxa"/>
            <w:tcBorders>
              <w:top w:val="single" w:sz="6" w:space="0" w:color="999999"/>
              <w:left w:val="single" w:sz="6" w:space="0" w:color="999999"/>
              <w:bottom w:val="single" w:sz="6" w:space="0" w:color="999999"/>
              <w:right w:val="single" w:sz="6" w:space="0" w:color="999999"/>
            </w:tcBorders>
          </w:tcPr>
          <w:p w:rsidR="008C2A00" w:rsidRDefault="008C2A00">
            <w:pPr>
              <w:jc w:val="center"/>
              <w:rPr>
                <w:rFonts w:cs="Arial"/>
              </w:rPr>
            </w:pPr>
          </w:p>
          <w:p w:rsidR="008C2A00" w:rsidRDefault="008C2A00">
            <w:pPr>
              <w:jc w:val="center"/>
            </w:pPr>
            <w:r>
              <w:t>Bruttokaltmiete/</w:t>
            </w:r>
          </w:p>
          <w:p w:rsidR="008C2A00" w:rsidRDefault="008C2A00">
            <w:pPr>
              <w:jc w:val="center"/>
              <w:rPr>
                <w:rFonts w:cs="Arial"/>
              </w:rPr>
            </w:pPr>
            <w:r>
              <w:t>m² in EUR</w:t>
            </w:r>
          </w:p>
        </w:tc>
        <w:tc>
          <w:tcPr>
            <w:tcW w:w="2158" w:type="dxa"/>
            <w:tcBorders>
              <w:top w:val="single" w:sz="6" w:space="0" w:color="999999"/>
              <w:left w:val="single" w:sz="6" w:space="0" w:color="999999"/>
              <w:bottom w:val="single" w:sz="6" w:space="0" w:color="999999"/>
              <w:right w:val="single" w:sz="4" w:space="0" w:color="999999"/>
            </w:tcBorders>
          </w:tcPr>
          <w:p w:rsidR="008C2A00" w:rsidRDefault="008C2A00">
            <w:pPr>
              <w:jc w:val="center"/>
              <w:rPr>
                <w:rFonts w:cs="Arial"/>
              </w:rPr>
            </w:pPr>
          </w:p>
          <w:p w:rsidR="008C2A00" w:rsidRDefault="008C2A00">
            <w:pPr>
              <w:jc w:val="center"/>
            </w:pPr>
            <w:r>
              <w:t>angemessene</w:t>
            </w:r>
          </w:p>
          <w:p w:rsidR="008C2A00" w:rsidRDefault="008C2A00">
            <w:pPr>
              <w:jc w:val="center"/>
            </w:pPr>
            <w:r>
              <w:t>Bruttokaltmiete</w:t>
            </w:r>
          </w:p>
          <w:p w:rsidR="008C2A00" w:rsidRDefault="008C2A00">
            <w:pPr>
              <w:jc w:val="center"/>
              <w:rPr>
                <w:rFonts w:cs="Arial"/>
              </w:rPr>
            </w:pPr>
            <w:r>
              <w:t xml:space="preserve">in EUR </w:t>
            </w:r>
          </w:p>
        </w:tc>
      </w:tr>
      <w:tr w:rsidR="008C2A00" w:rsidTr="008C2A00">
        <w:tc>
          <w:tcPr>
            <w:tcW w:w="2700" w:type="dxa"/>
            <w:tcBorders>
              <w:top w:val="single" w:sz="6" w:space="0" w:color="999999"/>
              <w:left w:val="single" w:sz="4" w:space="0" w:color="999999"/>
              <w:bottom w:val="single" w:sz="6" w:space="0" w:color="999999"/>
              <w:right w:val="single" w:sz="6" w:space="0" w:color="999999"/>
            </w:tcBorders>
          </w:tcPr>
          <w:p w:rsidR="008C2A00" w:rsidRDefault="008C2A00">
            <w:pPr>
              <w:jc w:val="both"/>
              <w:rPr>
                <w:rFonts w:cs="Arial"/>
              </w:rPr>
            </w:pPr>
          </w:p>
        </w:tc>
        <w:tc>
          <w:tcPr>
            <w:tcW w:w="1996" w:type="dxa"/>
            <w:tcBorders>
              <w:top w:val="single" w:sz="6" w:space="0" w:color="999999"/>
              <w:left w:val="single" w:sz="6" w:space="0" w:color="999999"/>
              <w:bottom w:val="single" w:sz="6" w:space="0" w:color="999999"/>
              <w:right w:val="single" w:sz="6" w:space="0" w:color="999999"/>
            </w:tcBorders>
          </w:tcPr>
          <w:p w:rsidR="008C2A00" w:rsidRDefault="008C2A00">
            <w:pPr>
              <w:jc w:val="both"/>
              <w:rPr>
                <w:rFonts w:cs="Arial"/>
              </w:rPr>
            </w:pPr>
          </w:p>
        </w:tc>
        <w:tc>
          <w:tcPr>
            <w:tcW w:w="2144" w:type="dxa"/>
            <w:tcBorders>
              <w:top w:val="single" w:sz="6" w:space="0" w:color="999999"/>
              <w:left w:val="single" w:sz="6" w:space="0" w:color="999999"/>
              <w:bottom w:val="single" w:sz="6" w:space="0" w:color="999999"/>
              <w:right w:val="single" w:sz="6" w:space="0" w:color="999999"/>
            </w:tcBorders>
          </w:tcPr>
          <w:p w:rsidR="008C2A00" w:rsidRDefault="008C2A00">
            <w:pPr>
              <w:jc w:val="both"/>
              <w:rPr>
                <w:rFonts w:cs="Arial"/>
              </w:rPr>
            </w:pPr>
          </w:p>
        </w:tc>
        <w:tc>
          <w:tcPr>
            <w:tcW w:w="2158" w:type="dxa"/>
            <w:tcBorders>
              <w:top w:val="single" w:sz="6" w:space="0" w:color="999999"/>
              <w:left w:val="single" w:sz="6" w:space="0" w:color="999999"/>
              <w:bottom w:val="single" w:sz="6" w:space="0" w:color="999999"/>
              <w:right w:val="single" w:sz="4" w:space="0" w:color="999999"/>
            </w:tcBorders>
          </w:tcPr>
          <w:p w:rsidR="008C2A00" w:rsidRDefault="008C2A00">
            <w:pPr>
              <w:jc w:val="center"/>
              <w:rPr>
                <w:rFonts w:cs="Arial"/>
              </w:rPr>
            </w:pPr>
          </w:p>
        </w:tc>
      </w:tr>
      <w:tr w:rsidR="008C2A00" w:rsidTr="008C2A00">
        <w:tc>
          <w:tcPr>
            <w:tcW w:w="2700"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1 Person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bis 50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6,08</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304,00</w:t>
            </w:r>
          </w:p>
        </w:tc>
      </w:tr>
      <w:tr w:rsidR="008C2A00" w:rsidTr="008C2A00">
        <w:tc>
          <w:tcPr>
            <w:tcW w:w="2700"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2 Personen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51 m² bis 65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5,83</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379,00</w:t>
            </w:r>
          </w:p>
        </w:tc>
      </w:tr>
      <w:tr w:rsidR="008C2A00" w:rsidTr="008C2A00">
        <w:tc>
          <w:tcPr>
            <w:tcW w:w="2700"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3 Personen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66 m² bis 75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5,64</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423,00</w:t>
            </w:r>
          </w:p>
        </w:tc>
      </w:tr>
      <w:tr w:rsidR="008C2A00" w:rsidTr="008C2A00">
        <w:tc>
          <w:tcPr>
            <w:tcW w:w="2700" w:type="dxa"/>
            <w:tcBorders>
              <w:top w:val="single" w:sz="6" w:space="0" w:color="999999"/>
              <w:left w:val="single" w:sz="4" w:space="0" w:color="999999"/>
              <w:bottom w:val="single" w:sz="6" w:space="0" w:color="999999"/>
              <w:right w:val="single" w:sz="6" w:space="0" w:color="999999"/>
            </w:tcBorders>
            <w:hideMark/>
          </w:tcPr>
          <w:p w:rsidR="008C2A00" w:rsidRDefault="008C2A00">
            <w:pPr>
              <w:jc w:val="both"/>
              <w:rPr>
                <w:rFonts w:cs="Arial"/>
              </w:rPr>
            </w:pPr>
            <w:r>
              <w:t>4 Personen</w:t>
            </w:r>
          </w:p>
        </w:tc>
        <w:tc>
          <w:tcPr>
            <w:tcW w:w="1996" w:type="dxa"/>
            <w:tcBorders>
              <w:top w:val="single" w:sz="6" w:space="0" w:color="999999"/>
              <w:left w:val="single" w:sz="6" w:space="0" w:color="999999"/>
              <w:bottom w:val="single" w:sz="6" w:space="0" w:color="999999"/>
              <w:right w:val="single" w:sz="6" w:space="0" w:color="999999"/>
            </w:tcBorders>
            <w:hideMark/>
          </w:tcPr>
          <w:p w:rsidR="008C2A00" w:rsidRDefault="008C2A00">
            <w:pPr>
              <w:jc w:val="both"/>
              <w:rPr>
                <w:rFonts w:cs="Arial"/>
              </w:rPr>
            </w:pPr>
            <w:r>
              <w:t>76 m² bis 90 m²</w:t>
            </w:r>
          </w:p>
        </w:tc>
        <w:tc>
          <w:tcPr>
            <w:tcW w:w="2144" w:type="dxa"/>
            <w:tcBorders>
              <w:top w:val="single" w:sz="6" w:space="0" w:color="999999"/>
              <w:left w:val="single" w:sz="6" w:space="0" w:color="999999"/>
              <w:bottom w:val="single" w:sz="6" w:space="0" w:color="999999"/>
              <w:right w:val="single" w:sz="6" w:space="0" w:color="999999"/>
            </w:tcBorders>
            <w:hideMark/>
          </w:tcPr>
          <w:p w:rsidR="008C2A00" w:rsidRPr="007A6096" w:rsidRDefault="008C2A00">
            <w:pPr>
              <w:jc w:val="center"/>
              <w:rPr>
                <w:rFonts w:cs="Arial"/>
              </w:rPr>
            </w:pPr>
            <w:r w:rsidRPr="007A6096">
              <w:t>5,62</w:t>
            </w:r>
          </w:p>
        </w:tc>
        <w:tc>
          <w:tcPr>
            <w:tcW w:w="2158" w:type="dxa"/>
            <w:tcBorders>
              <w:top w:val="single" w:sz="6" w:space="0" w:color="999999"/>
              <w:left w:val="single" w:sz="6" w:space="0" w:color="999999"/>
              <w:bottom w:val="single" w:sz="6" w:space="0" w:color="999999"/>
              <w:right w:val="single" w:sz="4" w:space="0" w:color="999999"/>
            </w:tcBorders>
            <w:hideMark/>
          </w:tcPr>
          <w:p w:rsidR="008C2A00" w:rsidRPr="007A6096" w:rsidRDefault="008C2A00">
            <w:pPr>
              <w:jc w:val="center"/>
              <w:rPr>
                <w:rFonts w:cs="Arial"/>
              </w:rPr>
            </w:pPr>
            <w:r w:rsidRPr="007A6096">
              <w:t>506,00</w:t>
            </w:r>
          </w:p>
        </w:tc>
      </w:tr>
      <w:tr w:rsidR="008C2A00" w:rsidTr="008C2A00">
        <w:tc>
          <w:tcPr>
            <w:tcW w:w="2700" w:type="dxa"/>
            <w:tcBorders>
              <w:top w:val="single" w:sz="6" w:space="0" w:color="999999"/>
              <w:left w:val="single" w:sz="4" w:space="0" w:color="999999"/>
              <w:bottom w:val="single" w:sz="4" w:space="0" w:color="999999"/>
              <w:right w:val="single" w:sz="6" w:space="0" w:color="999999"/>
            </w:tcBorders>
            <w:hideMark/>
          </w:tcPr>
          <w:p w:rsidR="008C2A00" w:rsidRDefault="008C2A00">
            <w:pPr>
              <w:rPr>
                <w:rFonts w:cs="Arial"/>
              </w:rPr>
            </w:pPr>
            <w:r>
              <w:t>für jeden weiteren Haushaltsangehörigen</w:t>
            </w:r>
          </w:p>
        </w:tc>
        <w:tc>
          <w:tcPr>
            <w:tcW w:w="1996" w:type="dxa"/>
            <w:tcBorders>
              <w:top w:val="single" w:sz="6" w:space="0" w:color="999999"/>
              <w:left w:val="single" w:sz="6" w:space="0" w:color="999999"/>
              <w:bottom w:val="single" w:sz="4" w:space="0" w:color="999999"/>
              <w:right w:val="single" w:sz="6" w:space="0" w:color="999999"/>
            </w:tcBorders>
            <w:hideMark/>
          </w:tcPr>
          <w:p w:rsidR="008C2A00" w:rsidRDefault="008C2A00">
            <w:pPr>
              <w:jc w:val="both"/>
              <w:rPr>
                <w:rFonts w:cs="Arial"/>
              </w:rPr>
            </w:pPr>
            <w:r>
              <w:t>zzgl. 15 m²</w:t>
            </w:r>
          </w:p>
        </w:tc>
        <w:tc>
          <w:tcPr>
            <w:tcW w:w="2144" w:type="dxa"/>
            <w:tcBorders>
              <w:top w:val="single" w:sz="6" w:space="0" w:color="999999"/>
              <w:left w:val="single" w:sz="6" w:space="0" w:color="999999"/>
              <w:bottom w:val="single" w:sz="4" w:space="0" w:color="999999"/>
              <w:right w:val="single" w:sz="6" w:space="0" w:color="999999"/>
            </w:tcBorders>
            <w:hideMark/>
          </w:tcPr>
          <w:p w:rsidR="008C2A00" w:rsidRPr="007A6096" w:rsidRDefault="008C2A00">
            <w:pPr>
              <w:jc w:val="center"/>
              <w:rPr>
                <w:rFonts w:cs="Arial"/>
              </w:rPr>
            </w:pPr>
            <w:r w:rsidRPr="007A6096">
              <w:t>5,62</w:t>
            </w:r>
          </w:p>
        </w:tc>
        <w:tc>
          <w:tcPr>
            <w:tcW w:w="2158" w:type="dxa"/>
            <w:tcBorders>
              <w:top w:val="single" w:sz="6" w:space="0" w:color="999999"/>
              <w:left w:val="single" w:sz="6" w:space="0" w:color="999999"/>
              <w:bottom w:val="single" w:sz="4" w:space="0" w:color="999999"/>
              <w:right w:val="single" w:sz="4" w:space="0" w:color="999999"/>
            </w:tcBorders>
            <w:hideMark/>
          </w:tcPr>
          <w:p w:rsidR="008C2A00" w:rsidRPr="007A6096" w:rsidRDefault="008C2A00">
            <w:pPr>
              <w:jc w:val="center"/>
              <w:rPr>
                <w:rFonts w:cs="Arial"/>
              </w:rPr>
            </w:pPr>
            <w:r w:rsidRPr="007A6096">
              <w:t>85,00</w:t>
            </w:r>
          </w:p>
        </w:tc>
      </w:tr>
    </w:tbl>
    <w:p w:rsidR="008C2A00" w:rsidRDefault="008C2A00" w:rsidP="008C2A00">
      <w:pPr>
        <w:jc w:val="center"/>
        <w:rPr>
          <w:rFonts w:cs="Arial"/>
        </w:rPr>
      </w:pPr>
    </w:p>
    <w:p w:rsidR="008C2A00" w:rsidRDefault="008C2A00" w:rsidP="008C2A00"/>
    <w:p w:rsidR="008C2A00" w:rsidRDefault="008C2A00" w:rsidP="008C2A00">
      <w:r>
        <w:t>Die Bruttokaltmiete beinhaltet sog. kalte Nebenkosten in Höhe von 1,17 EUR/m².</w:t>
      </w:r>
    </w:p>
    <w:p w:rsidR="008C2A00" w:rsidRPr="00993152" w:rsidRDefault="008C2A00" w:rsidP="004D14FE">
      <w:pPr>
        <w:jc w:val="both"/>
        <w:rPr>
          <w:b/>
          <w:sz w:val="24"/>
          <w:szCs w:val="24"/>
          <w:u w:val="single"/>
        </w:rPr>
      </w:pPr>
    </w:p>
    <w:p w:rsidR="004D14FE" w:rsidRPr="00993152" w:rsidRDefault="004D14FE" w:rsidP="009B7715">
      <w:pPr>
        <w:jc w:val="both"/>
      </w:pPr>
      <w:r w:rsidRPr="00993152">
        <w:rPr>
          <w:sz w:val="28"/>
          <w:szCs w:val="28"/>
        </w:rPr>
        <w:t xml:space="preserve">  </w:t>
      </w:r>
    </w:p>
    <w:p w:rsidR="00F24DC1" w:rsidRPr="00A5224A" w:rsidRDefault="00F24DC1" w:rsidP="00E5033E">
      <w:pPr>
        <w:pStyle w:val="berschrift4"/>
        <w:numPr>
          <w:ilvl w:val="2"/>
          <w:numId w:val="16"/>
        </w:numPr>
        <w:rPr>
          <w:color w:val="00B050"/>
          <w:sz w:val="24"/>
          <w:szCs w:val="24"/>
        </w:rPr>
      </w:pPr>
      <w:r w:rsidRPr="00A5224A">
        <w:rPr>
          <w:color w:val="00B050"/>
          <w:sz w:val="24"/>
          <w:szCs w:val="24"/>
        </w:rPr>
        <w:t>Angemessene Heizkosten</w:t>
      </w:r>
    </w:p>
    <w:p w:rsidR="00F24DC1" w:rsidRPr="00993152" w:rsidRDefault="00F24DC1" w:rsidP="00F24DC1">
      <w:pPr>
        <w:rPr>
          <w:rFonts w:cs="Arial"/>
        </w:rPr>
      </w:pPr>
    </w:p>
    <w:p w:rsidR="00F24DC1" w:rsidRPr="00993152" w:rsidRDefault="00F24DC1" w:rsidP="00564344">
      <w:pPr>
        <w:jc w:val="both"/>
        <w:rPr>
          <w:rFonts w:cs="Arial"/>
        </w:rPr>
      </w:pPr>
      <w:r w:rsidRPr="00993152">
        <w:rPr>
          <w:rFonts w:cs="Arial"/>
        </w:rPr>
        <w:t>Nach den Urteilen des B</w:t>
      </w:r>
      <w:r w:rsidR="00F45E53" w:rsidRPr="00993152">
        <w:rPr>
          <w:rFonts w:cs="Arial"/>
        </w:rPr>
        <w:t>SG</w:t>
      </w:r>
      <w:r w:rsidRPr="00993152">
        <w:rPr>
          <w:rFonts w:cs="Arial"/>
        </w:rPr>
        <w:t xml:space="preserve"> vom 02.07.2009 – B 14 AS 36/08 R</w:t>
      </w:r>
      <w:r w:rsidR="00977657" w:rsidRPr="00993152">
        <w:rPr>
          <w:rFonts w:cs="Arial"/>
        </w:rPr>
        <w:t>-</w:t>
      </w:r>
      <w:r w:rsidRPr="00993152">
        <w:rPr>
          <w:rFonts w:cs="Arial"/>
        </w:rPr>
        <w:t xml:space="preserve"> und </w:t>
      </w:r>
      <w:r w:rsidR="00977657" w:rsidRPr="00993152">
        <w:rPr>
          <w:rFonts w:cs="Arial"/>
        </w:rPr>
        <w:t>-</w:t>
      </w:r>
      <w:r w:rsidRPr="00993152">
        <w:rPr>
          <w:rFonts w:cs="Arial"/>
        </w:rPr>
        <w:t>B 14 AS 33/08 R</w:t>
      </w:r>
      <w:r w:rsidR="00977657" w:rsidRPr="00993152">
        <w:rPr>
          <w:rFonts w:cs="Arial"/>
        </w:rPr>
        <w:t>-</w:t>
      </w:r>
      <w:r w:rsidRPr="00993152">
        <w:rPr>
          <w:rFonts w:cs="Arial"/>
        </w:rPr>
        <w:t xml:space="preserve"> sind die tatsächlich anfallenden Heizkosten als angemessen anzusehen, soweit sie nicht einen Grenzwert überschreiten.</w:t>
      </w:r>
    </w:p>
    <w:p w:rsidR="00F24DC1" w:rsidRPr="00993152" w:rsidRDefault="00F24DC1" w:rsidP="00564344">
      <w:pPr>
        <w:jc w:val="both"/>
        <w:rPr>
          <w:rFonts w:cs="Arial"/>
        </w:rPr>
      </w:pPr>
    </w:p>
    <w:p w:rsidR="00F24DC1" w:rsidRPr="00993152" w:rsidRDefault="00F24DC1" w:rsidP="00564344">
      <w:pPr>
        <w:jc w:val="both"/>
        <w:rPr>
          <w:rFonts w:cs="Arial"/>
        </w:rPr>
      </w:pPr>
      <w:r w:rsidRPr="00993152">
        <w:rPr>
          <w:rFonts w:cs="Arial"/>
        </w:rPr>
        <w:t>Zur Bestimmung dieses angemessenen Grenzwertes verweist das Bundessozialgericht für den Regelfall einer mit Öl, Erdgas oder Fernwärme beheizten Wohnung auf den von der co2online GmbH in Kooperation mit dem Deutschen Mieterbund erstellten und durch das Bundesministerium für Umwelt, Naturschutz und Reaktorsicherheit geförderten "Bundesweiten Heizspiegel", wenn es - wie für das Gebiet des Landkreises Passau - an einem „Kommunalen Heizspiegel“ fehlt. Aus dem "Bundesweiten Heizspiegel" ergeben sich Vergleichswerte für öl-, erdgas- und fernwärmebeheizte Wohnungen gestaffelt nach der von der jeweiligen Heizungsanlage zu beheizenden Wohnfläche.</w:t>
      </w:r>
    </w:p>
    <w:p w:rsidR="00B75CE8" w:rsidRPr="00993152" w:rsidRDefault="00B75CE8" w:rsidP="00564344">
      <w:pPr>
        <w:jc w:val="both"/>
        <w:rPr>
          <w:rFonts w:cs="Arial"/>
        </w:rPr>
      </w:pPr>
    </w:p>
    <w:p w:rsidR="009D7FF2" w:rsidRPr="003A5269" w:rsidRDefault="009D7FF2" w:rsidP="00811FA9">
      <w:pPr>
        <w:jc w:val="both"/>
        <w:rPr>
          <w:rFonts w:eastAsia="Times New Roman" w:cs="Arial"/>
          <w:lang w:eastAsia="de-DE"/>
        </w:rPr>
      </w:pPr>
      <w:r w:rsidRPr="003A5269">
        <w:rPr>
          <w:rFonts w:eastAsia="Times New Roman" w:cs="Arial"/>
          <w:lang w:eastAsia="de-DE"/>
        </w:rPr>
        <w:t xml:space="preserve">Bitte beachten, dass sich die neuen „Richtwerte Heizkosten“ aufgrund eines neuen Verfahrens bei der Erstellung des Bundesweiten Heizspiegels jetzt auf </w:t>
      </w:r>
      <w:r w:rsidRPr="003A5269">
        <w:rPr>
          <w:rFonts w:eastAsia="Times New Roman" w:cs="Arial"/>
          <w:u w:val="single"/>
          <w:lang w:eastAsia="de-DE"/>
        </w:rPr>
        <w:t>zentral beheizte</w:t>
      </w:r>
      <w:r w:rsidRPr="003A5269">
        <w:rPr>
          <w:rFonts w:eastAsia="Times New Roman" w:cs="Arial"/>
          <w:lang w:eastAsia="de-DE"/>
        </w:rPr>
        <w:t xml:space="preserve"> Gebäude beziehen und die Kosten für </w:t>
      </w:r>
      <w:r w:rsidRPr="003A5269">
        <w:rPr>
          <w:rFonts w:eastAsia="Times New Roman" w:cs="Arial"/>
          <w:u w:val="single"/>
          <w:lang w:eastAsia="de-DE"/>
        </w:rPr>
        <w:t>Heizung und Warmwasser</w:t>
      </w:r>
      <w:r w:rsidRPr="003A5269">
        <w:rPr>
          <w:rFonts w:eastAsia="Times New Roman" w:cs="Arial"/>
          <w:lang w:eastAsia="de-DE"/>
        </w:rPr>
        <w:t xml:space="preserve"> beinhalten. </w:t>
      </w:r>
    </w:p>
    <w:p w:rsidR="009D7FF2" w:rsidRPr="003A5269" w:rsidRDefault="009D7FF2" w:rsidP="00811FA9">
      <w:pPr>
        <w:jc w:val="both"/>
        <w:rPr>
          <w:rFonts w:eastAsia="Times New Roman" w:cs="Arial"/>
          <w:lang w:eastAsia="de-DE"/>
        </w:rPr>
      </w:pPr>
      <w:r w:rsidRPr="003A5269">
        <w:rPr>
          <w:rFonts w:eastAsia="Times New Roman" w:cs="Arial"/>
          <w:lang w:eastAsia="de-DE"/>
        </w:rPr>
        <w:t>Es handelt sich also um die Richtwerte  für Heiz- und Warmwasserkosten (bei zentraler Warmwasserbereitung)  im Landkreis Passau.</w:t>
      </w:r>
    </w:p>
    <w:p w:rsidR="009D7FF2" w:rsidRPr="003A5269" w:rsidRDefault="009D7FF2" w:rsidP="00811FA9">
      <w:pPr>
        <w:jc w:val="both"/>
        <w:rPr>
          <w:rFonts w:eastAsia="Times New Roman" w:cs="Arial"/>
          <w:lang w:eastAsia="de-DE"/>
        </w:rPr>
      </w:pPr>
    </w:p>
    <w:p w:rsidR="009D7FF2" w:rsidRPr="003A5269" w:rsidRDefault="009D7FF2" w:rsidP="00811FA9">
      <w:pPr>
        <w:jc w:val="both"/>
        <w:rPr>
          <w:rFonts w:cs="Arial"/>
          <w:b/>
        </w:rPr>
      </w:pPr>
      <w:r w:rsidRPr="003A5269">
        <w:rPr>
          <w:rFonts w:cs="Arial"/>
          <w:b/>
        </w:rPr>
        <w:t>Die Kosten für Warmwasser sind in diesen Grenzwerten nun enthalten.</w:t>
      </w:r>
    </w:p>
    <w:p w:rsidR="009D7FF2" w:rsidRPr="003A5269" w:rsidRDefault="009D7FF2" w:rsidP="00811FA9">
      <w:pPr>
        <w:jc w:val="both"/>
        <w:rPr>
          <w:rFonts w:eastAsia="Times New Roman" w:cs="Arial"/>
          <w:lang w:eastAsia="de-DE"/>
        </w:rPr>
      </w:pPr>
    </w:p>
    <w:p w:rsidR="009D7FF2" w:rsidRPr="003A5269" w:rsidRDefault="009D7FF2" w:rsidP="00811FA9">
      <w:pPr>
        <w:jc w:val="both"/>
        <w:rPr>
          <w:rFonts w:eastAsia="Times New Roman" w:cs="Arial"/>
          <w:lang w:eastAsia="de-DE"/>
        </w:rPr>
      </w:pPr>
      <w:r w:rsidRPr="003A5269">
        <w:rPr>
          <w:rFonts w:eastAsia="Times New Roman" w:cs="Arial"/>
          <w:lang w:eastAsia="de-DE"/>
        </w:rPr>
        <w:t xml:space="preserve">In Anbetracht der zu vernachlässigenden Anzahl von Unterkünften mit dezentraler Warmwasserbereitung wird eine gesonderte </w:t>
      </w:r>
      <w:r w:rsidRPr="003A5269">
        <w:rPr>
          <w:rFonts w:eastAsia="Times New Roman" w:cs="Arial"/>
          <w:u w:val="single"/>
          <w:lang w:eastAsia="de-DE"/>
        </w:rPr>
        <w:t>Richtwerttabelle für Unterkünfte mit dezentraler Warmwasserbereitung</w:t>
      </w:r>
      <w:r w:rsidRPr="003A5269">
        <w:rPr>
          <w:rFonts w:eastAsia="Times New Roman" w:cs="Arial"/>
          <w:lang w:eastAsia="de-DE"/>
        </w:rPr>
        <w:t xml:space="preserve"> nicht erstellt. </w:t>
      </w:r>
    </w:p>
    <w:p w:rsidR="00F24DC1" w:rsidRPr="003A5269" w:rsidRDefault="00F24DC1" w:rsidP="00564344">
      <w:pPr>
        <w:jc w:val="both"/>
        <w:rPr>
          <w:rFonts w:cs="Arial"/>
        </w:rPr>
      </w:pPr>
    </w:p>
    <w:p w:rsidR="00F24DC1" w:rsidRPr="003A5269" w:rsidRDefault="00F24DC1" w:rsidP="00564344">
      <w:pPr>
        <w:jc w:val="both"/>
        <w:rPr>
          <w:rFonts w:cs="Arial"/>
        </w:rPr>
      </w:pPr>
      <w:r w:rsidRPr="003A5269">
        <w:rPr>
          <w:rFonts w:cs="Arial"/>
        </w:rPr>
        <w:t>Im Regelfall können die tatsächlichen Heizkosten nur bis zur diesem angemessenen Grenzwert gezahlt werden. Soweit die tatsächlichen Heizkosten den ermittelten Grenzwert überschreiten, besteht Anlass für die Annahme, dass diese Kosten unangemessen hoch sind. Es sind dann vom Leistungsberechtigten Maßnahmen zu erwarten, die zur Senkung der Heizkosten führen. Es obliegt in solchen Fällen den Leistungsberechtigten, konkret vorzubringen, warum die Aufwendungen für die Heizung über dem Grenzwert liegen, in diesem Einzelfall aber gleichwohl noch als angemessen anzusehen sind.</w:t>
      </w:r>
    </w:p>
    <w:p w:rsidR="00405926" w:rsidRPr="003A5269" w:rsidRDefault="00405926" w:rsidP="00564344">
      <w:pPr>
        <w:jc w:val="both"/>
        <w:rPr>
          <w:rFonts w:cs="Arial"/>
        </w:rPr>
      </w:pPr>
    </w:p>
    <w:p w:rsidR="00405926" w:rsidRPr="003A5269" w:rsidRDefault="00405926" w:rsidP="00405926">
      <w:pPr>
        <w:autoSpaceDE w:val="0"/>
        <w:autoSpaceDN w:val="0"/>
        <w:adjustRightInd w:val="0"/>
        <w:jc w:val="both"/>
        <w:rPr>
          <w:rFonts w:ascii="ArialMT" w:hAnsi="ArialMT" w:cs="ArialMT"/>
        </w:rPr>
      </w:pPr>
      <w:r w:rsidRPr="003A5269">
        <w:rPr>
          <w:rFonts w:ascii="ArialMT" w:hAnsi="ArialMT" w:cs="ArialMT"/>
        </w:rPr>
        <w:t>Sollte in einem Einzelfall in der Vergangenheit eine Entscheidung getroffen worden sein, die</w:t>
      </w:r>
    </w:p>
    <w:p w:rsidR="00405926" w:rsidRPr="003A5269" w:rsidRDefault="00405926" w:rsidP="00405926">
      <w:pPr>
        <w:autoSpaceDE w:val="0"/>
        <w:autoSpaceDN w:val="0"/>
        <w:adjustRightInd w:val="0"/>
        <w:jc w:val="both"/>
        <w:rPr>
          <w:rFonts w:cs="Arial"/>
        </w:rPr>
      </w:pPr>
      <w:r w:rsidRPr="003A5269">
        <w:rPr>
          <w:rFonts w:ascii="ArialMT" w:hAnsi="ArialMT" w:cs="ArialMT"/>
        </w:rPr>
        <w:t>günstiger als die Werte in der neuen Angemessenheitstabelle ist, hat der LB einen zu wahrenden Besitzstand. Die ursprünglichen Grenzwerte werden bei gleichbleibenden Lebensumständen (Zahl BG-Mitglieder, gleiche Wohnung usw.) daher weiterhin anerkannt.</w:t>
      </w:r>
    </w:p>
    <w:p w:rsidR="00297ED4" w:rsidRPr="003A5269" w:rsidRDefault="00297ED4" w:rsidP="00564344">
      <w:pPr>
        <w:jc w:val="both"/>
        <w:rPr>
          <w:rFonts w:cs="Arial"/>
        </w:rPr>
      </w:pPr>
    </w:p>
    <w:p w:rsidR="00297ED4" w:rsidRPr="003A5269" w:rsidRDefault="00297ED4" w:rsidP="00297ED4">
      <w:pPr>
        <w:jc w:val="both"/>
        <w:rPr>
          <w:rFonts w:cs="Arial"/>
        </w:rPr>
      </w:pPr>
      <w:r w:rsidRPr="003A5269">
        <w:rPr>
          <w:rFonts w:cs="Arial"/>
        </w:rPr>
        <w:t xml:space="preserve">Stehen auf dem in Bezug zu nehmenden Wohnungsmarkt keine Wohnungen zur Verfügung, in denen vom JC </w:t>
      </w:r>
      <w:r w:rsidRPr="003A5269">
        <w:rPr>
          <w:rFonts w:cs="Arial"/>
          <w:u w:val="single"/>
        </w:rPr>
        <w:t>insgesamt</w:t>
      </w:r>
      <w:r w:rsidRPr="003A5269">
        <w:rPr>
          <w:rFonts w:cs="Arial"/>
        </w:rPr>
        <w:t xml:space="preserve"> (KdU u. Heizkosten) niedrigere Kosten aufzubringen sind, bleibt es der Entscheidung des </w:t>
      </w:r>
      <w:r w:rsidR="00E82B9B">
        <w:rPr>
          <w:rFonts w:cs="Arial"/>
        </w:rPr>
        <w:t>LB</w:t>
      </w:r>
      <w:r w:rsidRPr="003A5269">
        <w:rPr>
          <w:rFonts w:cs="Arial"/>
        </w:rPr>
        <w:t xml:space="preserve"> überlassen, ob er weiterhin in der Wohnung bleibt. </w:t>
      </w:r>
    </w:p>
    <w:p w:rsidR="00297ED4" w:rsidRPr="003A5269" w:rsidRDefault="00297ED4" w:rsidP="00297ED4">
      <w:pPr>
        <w:jc w:val="both"/>
        <w:rPr>
          <w:rFonts w:cs="Arial"/>
        </w:rPr>
      </w:pPr>
      <w:r w:rsidRPr="003A5269">
        <w:rPr>
          <w:rFonts w:cs="Arial"/>
        </w:rPr>
        <w:t>Das JC muss also belegen können (Anzeigensammlung), dass angemessene Wohnungen vorhanden waren (vgl. BSG, 12.06.2013 - B 14 AS 60/12 R-).</w:t>
      </w:r>
    </w:p>
    <w:p w:rsidR="00297ED4" w:rsidRDefault="00297ED4" w:rsidP="00564344">
      <w:pPr>
        <w:jc w:val="both"/>
        <w:rPr>
          <w:rFonts w:cs="Arial"/>
        </w:rPr>
      </w:pPr>
    </w:p>
    <w:p w:rsidR="001D2AF9" w:rsidRDefault="001D2AF9" w:rsidP="00564344">
      <w:pPr>
        <w:jc w:val="both"/>
        <w:rPr>
          <w:rFonts w:cs="Arial"/>
        </w:rPr>
      </w:pPr>
    </w:p>
    <w:p w:rsidR="00D016CE" w:rsidRDefault="00D016CE" w:rsidP="00564344">
      <w:pPr>
        <w:jc w:val="both"/>
        <w:rPr>
          <w:rFonts w:cs="Arial"/>
        </w:rPr>
      </w:pPr>
    </w:p>
    <w:p w:rsidR="00D016CE" w:rsidRDefault="00D016CE" w:rsidP="00D016CE">
      <w:pPr>
        <w:rPr>
          <w:rFonts w:cs="Arial"/>
          <w:b/>
          <w:u w:val="single"/>
        </w:rPr>
      </w:pPr>
    </w:p>
    <w:tbl>
      <w:tblPr>
        <w:tblW w:w="8561" w:type="dxa"/>
        <w:tblInd w:w="55" w:type="dxa"/>
        <w:tblCellMar>
          <w:left w:w="70" w:type="dxa"/>
          <w:right w:w="70" w:type="dxa"/>
        </w:tblCellMar>
        <w:tblLook w:val="04A0" w:firstRow="1" w:lastRow="0" w:firstColumn="1" w:lastColumn="0" w:noHBand="0" w:noVBand="1"/>
      </w:tblPr>
      <w:tblGrid>
        <w:gridCol w:w="4002"/>
        <w:gridCol w:w="1078"/>
        <w:gridCol w:w="1078"/>
        <w:gridCol w:w="1215"/>
        <w:gridCol w:w="1188"/>
      </w:tblGrid>
      <w:tr w:rsidR="00D016CE" w:rsidTr="00D016CE">
        <w:trPr>
          <w:trHeight w:val="405"/>
        </w:trPr>
        <w:tc>
          <w:tcPr>
            <w:tcW w:w="8561" w:type="dxa"/>
            <w:gridSpan w:val="5"/>
            <w:tcBorders>
              <w:top w:val="single" w:sz="8" w:space="0" w:color="auto"/>
              <w:left w:val="single" w:sz="8" w:space="0" w:color="auto"/>
              <w:bottom w:val="single" w:sz="8" w:space="0" w:color="auto"/>
              <w:right w:val="single" w:sz="8" w:space="0" w:color="000000"/>
            </w:tcBorders>
            <w:shd w:val="clear" w:color="auto" w:fill="FFFF99"/>
            <w:noWrap/>
            <w:vAlign w:val="center"/>
            <w:hideMark/>
          </w:tcPr>
          <w:p w:rsidR="00D016CE" w:rsidRDefault="00D016CE">
            <w:pPr>
              <w:jc w:val="center"/>
              <w:rPr>
                <w:rFonts w:cs="Arial"/>
                <w:b/>
                <w:bCs/>
              </w:rPr>
            </w:pPr>
            <w:r>
              <w:rPr>
                <w:rFonts w:cs="Arial"/>
                <w:b/>
                <w:bCs/>
              </w:rPr>
              <w:lastRenderedPageBreak/>
              <w:t xml:space="preserve">Angemessene mtl. Grenzwerte für Heiz- und Warmwasserkosten </w:t>
            </w:r>
          </w:p>
          <w:p w:rsidR="00D016CE" w:rsidRDefault="00D016CE">
            <w:pPr>
              <w:jc w:val="center"/>
              <w:rPr>
                <w:rFonts w:cs="Arial"/>
                <w:b/>
                <w:bCs/>
              </w:rPr>
            </w:pPr>
            <w:r>
              <w:rPr>
                <w:rFonts w:cs="Arial"/>
                <w:b/>
                <w:bCs/>
              </w:rPr>
              <w:t>(bei zentraler Warmwasserbereitung) im Landkreis Passau -                        Ermittlung 11/2016 / Anpassung  01.01.2017</w:t>
            </w:r>
          </w:p>
        </w:tc>
      </w:tr>
      <w:tr w:rsidR="00D016CE" w:rsidTr="00D016CE">
        <w:trPr>
          <w:trHeight w:val="150"/>
        </w:trPr>
        <w:tc>
          <w:tcPr>
            <w:tcW w:w="8561" w:type="dxa"/>
            <w:gridSpan w:val="5"/>
            <w:tcBorders>
              <w:top w:val="single" w:sz="8" w:space="0" w:color="auto"/>
              <w:left w:val="nil"/>
              <w:bottom w:val="single" w:sz="8" w:space="0" w:color="auto"/>
              <w:right w:val="nil"/>
            </w:tcBorders>
            <w:noWrap/>
            <w:vAlign w:val="bottom"/>
            <w:hideMark/>
          </w:tcPr>
          <w:p w:rsidR="00D016CE" w:rsidRDefault="00D016CE">
            <w:pPr>
              <w:rPr>
                <w:rFonts w:cs="Arial"/>
                <w:sz w:val="20"/>
                <w:szCs w:val="20"/>
              </w:rPr>
            </w:pPr>
            <w:r>
              <w:rPr>
                <w:rFonts w:cs="Arial"/>
                <w:sz w:val="20"/>
                <w:szCs w:val="20"/>
              </w:rPr>
              <w:t> </w:t>
            </w:r>
          </w:p>
        </w:tc>
      </w:tr>
      <w:tr w:rsidR="00D016CE" w:rsidTr="00D016CE">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hideMark/>
          </w:tcPr>
          <w:p w:rsidR="00D016CE" w:rsidRDefault="00D016CE">
            <w:pPr>
              <w:rPr>
                <w:rFonts w:cs="Arial"/>
                <w:b/>
                <w:bCs/>
              </w:rPr>
            </w:pPr>
            <w:r>
              <w:rPr>
                <w:rFonts w:cs="Arial"/>
                <w:b/>
                <w:bCs/>
              </w:rPr>
              <w:t xml:space="preserve"> A. Heizöl</w:t>
            </w:r>
          </w:p>
        </w:tc>
      </w:tr>
      <w:tr w:rsidR="00D016CE" w:rsidTr="00D016CE">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hideMark/>
          </w:tcPr>
          <w:p w:rsidR="00D016CE" w:rsidRDefault="00D016CE">
            <w:pPr>
              <w:jc w:val="center"/>
              <w:rPr>
                <w:rFonts w:cs="Arial"/>
              </w:rPr>
            </w:pPr>
            <w:r>
              <w:rPr>
                <w:rFonts w:cs="Arial"/>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hideMark/>
          </w:tcPr>
          <w:p w:rsidR="00D016CE" w:rsidRDefault="00D016CE">
            <w:pPr>
              <w:jc w:val="center"/>
              <w:rPr>
                <w:rFonts w:cs="Arial"/>
                <w:b/>
                <w:bCs/>
              </w:rPr>
            </w:pPr>
            <w:r>
              <w:rPr>
                <w:rFonts w:cs="Arial"/>
                <w:b/>
                <w:bCs/>
              </w:rPr>
              <w:t>Gebäudefläche in m</w:t>
            </w:r>
            <w:r>
              <w:rPr>
                <w:rFonts w:cs="Arial"/>
                <w:b/>
                <w:bCs/>
                <w:vertAlign w:val="superscript"/>
              </w:rPr>
              <w:t>2</w:t>
            </w:r>
            <w:r>
              <w:rPr>
                <w:rFonts w:cs="Arial"/>
                <w:b/>
                <w:bCs/>
              </w:rPr>
              <w:t xml:space="preserve"> </w:t>
            </w:r>
          </w:p>
          <w:p w:rsidR="00D016CE" w:rsidRDefault="00D016CE">
            <w:pPr>
              <w:jc w:val="center"/>
              <w:rPr>
                <w:rFonts w:cs="Arial"/>
                <w:b/>
                <w:bCs/>
                <w:sz w:val="16"/>
                <w:szCs w:val="16"/>
              </w:rPr>
            </w:pPr>
            <w:r>
              <w:rPr>
                <w:rFonts w:cs="Arial"/>
                <w:b/>
                <w:bCs/>
                <w:sz w:val="16"/>
                <w:szCs w:val="16"/>
              </w:rPr>
              <w:t>(Gesamtheit aller Wohnungen des Gebäudes, in dem die Wohnung liegt)</w:t>
            </w:r>
          </w:p>
        </w:tc>
      </w:tr>
      <w:tr w:rsidR="00D016CE" w:rsidTr="00D016CE">
        <w:trPr>
          <w:trHeight w:val="300"/>
        </w:trPr>
        <w:tc>
          <w:tcPr>
            <w:tcW w:w="0" w:type="auto"/>
            <w:vMerge/>
            <w:tcBorders>
              <w:top w:val="nil"/>
              <w:left w:val="single" w:sz="8" w:space="0" w:color="auto"/>
              <w:bottom w:val="single" w:sz="4" w:space="0" w:color="000000"/>
              <w:right w:val="single" w:sz="8" w:space="0" w:color="auto"/>
            </w:tcBorders>
            <w:vAlign w:val="center"/>
            <w:hideMark/>
          </w:tcPr>
          <w:p w:rsidR="00D016CE" w:rsidRDefault="00D016CE">
            <w:pPr>
              <w:rPr>
                <w:rFonts w:cs="Arial"/>
              </w:rPr>
            </w:pPr>
          </w:p>
        </w:tc>
        <w:tc>
          <w:tcPr>
            <w:tcW w:w="1078"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100 - 250</w:t>
            </w:r>
          </w:p>
        </w:tc>
        <w:tc>
          <w:tcPr>
            <w:tcW w:w="1078"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251 - 500</w:t>
            </w:r>
          </w:p>
        </w:tc>
        <w:tc>
          <w:tcPr>
            <w:tcW w:w="1215"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501 - 1000</w:t>
            </w:r>
          </w:p>
        </w:tc>
        <w:tc>
          <w:tcPr>
            <w:tcW w:w="1188" w:type="dxa"/>
            <w:tcBorders>
              <w:top w:val="nil"/>
              <w:left w:val="nil"/>
              <w:bottom w:val="single" w:sz="4" w:space="0" w:color="auto"/>
              <w:right w:val="single" w:sz="8" w:space="0" w:color="auto"/>
            </w:tcBorders>
            <w:shd w:val="clear" w:color="auto" w:fill="FFCC00"/>
            <w:noWrap/>
            <w:vAlign w:val="bottom"/>
            <w:hideMark/>
          </w:tcPr>
          <w:p w:rsidR="00D016CE" w:rsidRDefault="00D016CE">
            <w:pPr>
              <w:jc w:val="center"/>
              <w:rPr>
                <w:rFonts w:cs="Arial"/>
                <w:b/>
                <w:bCs/>
              </w:rPr>
            </w:pPr>
            <w:r>
              <w:rPr>
                <w:rFonts w:cs="Arial"/>
                <w:b/>
                <w:bCs/>
              </w:rPr>
              <w:t>über 1000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1 Person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68,00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65,00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63,00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61,00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2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89,00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85,00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82,00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80,00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3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102,00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98,00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94,00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92,00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4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123,00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117,00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113,00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110,00</w:t>
            </w:r>
          </w:p>
        </w:tc>
      </w:tr>
      <w:tr w:rsidR="00D016CE" w:rsidTr="00D016CE">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hideMark/>
          </w:tcPr>
          <w:p w:rsidR="00D016CE" w:rsidRDefault="00D016CE">
            <w:pPr>
              <w:rPr>
                <w:rFonts w:cs="Arial"/>
                <w:b/>
                <w:bCs/>
              </w:rPr>
            </w:pPr>
            <w:r>
              <w:rPr>
                <w:rFonts w:cs="Arial"/>
                <w:b/>
                <w:bCs/>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21,00</w:t>
            </w:r>
          </w:p>
        </w:tc>
        <w:tc>
          <w:tcPr>
            <w:tcW w:w="1078"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20,00</w:t>
            </w:r>
          </w:p>
        </w:tc>
        <w:tc>
          <w:tcPr>
            <w:tcW w:w="1215"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19,00</w:t>
            </w:r>
          </w:p>
        </w:tc>
        <w:tc>
          <w:tcPr>
            <w:tcW w:w="1188" w:type="dxa"/>
            <w:tcBorders>
              <w:top w:val="nil"/>
              <w:left w:val="nil"/>
              <w:bottom w:val="single" w:sz="8"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19,00</w:t>
            </w:r>
          </w:p>
        </w:tc>
      </w:tr>
      <w:tr w:rsidR="00D016CE" w:rsidTr="00D016CE">
        <w:trPr>
          <w:trHeight w:val="165"/>
        </w:trPr>
        <w:tc>
          <w:tcPr>
            <w:tcW w:w="8561" w:type="dxa"/>
            <w:gridSpan w:val="5"/>
            <w:tcBorders>
              <w:top w:val="single" w:sz="8" w:space="0" w:color="auto"/>
              <w:left w:val="nil"/>
              <w:bottom w:val="single" w:sz="8" w:space="0" w:color="auto"/>
              <w:right w:val="nil"/>
            </w:tcBorders>
            <w:noWrap/>
            <w:vAlign w:val="bottom"/>
            <w:hideMark/>
          </w:tcPr>
          <w:p w:rsidR="00D016CE" w:rsidRDefault="00D016CE">
            <w:pPr>
              <w:rPr>
                <w:rFonts w:cs="Arial"/>
                <w:sz w:val="20"/>
                <w:szCs w:val="20"/>
              </w:rPr>
            </w:pPr>
            <w:r>
              <w:rPr>
                <w:rFonts w:cs="Arial"/>
                <w:sz w:val="20"/>
                <w:szCs w:val="20"/>
              </w:rPr>
              <w:t> </w:t>
            </w:r>
          </w:p>
        </w:tc>
      </w:tr>
      <w:tr w:rsidR="00D016CE" w:rsidTr="00D016CE">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hideMark/>
          </w:tcPr>
          <w:p w:rsidR="00D016CE" w:rsidRDefault="00D016CE">
            <w:pPr>
              <w:rPr>
                <w:rFonts w:cs="Arial"/>
                <w:b/>
                <w:bCs/>
              </w:rPr>
            </w:pPr>
            <w:r>
              <w:rPr>
                <w:rFonts w:cs="Arial"/>
                <w:b/>
                <w:bCs/>
              </w:rPr>
              <w:t xml:space="preserve"> B. Erdgas</w:t>
            </w:r>
          </w:p>
        </w:tc>
      </w:tr>
      <w:tr w:rsidR="00D016CE" w:rsidTr="00D016CE">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hideMark/>
          </w:tcPr>
          <w:p w:rsidR="00D016CE" w:rsidRDefault="00D016CE">
            <w:pPr>
              <w:jc w:val="center"/>
              <w:rPr>
                <w:rFonts w:cs="Arial"/>
              </w:rPr>
            </w:pPr>
            <w:r>
              <w:rPr>
                <w:rFonts w:cs="Arial"/>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hideMark/>
          </w:tcPr>
          <w:p w:rsidR="00D016CE" w:rsidRDefault="00D016CE">
            <w:pPr>
              <w:jc w:val="center"/>
              <w:rPr>
                <w:rFonts w:cs="Arial"/>
                <w:b/>
                <w:bCs/>
              </w:rPr>
            </w:pPr>
            <w:r>
              <w:rPr>
                <w:rFonts w:cs="Arial"/>
                <w:b/>
                <w:bCs/>
              </w:rPr>
              <w:t>Gebäudefläche in m</w:t>
            </w:r>
            <w:r>
              <w:rPr>
                <w:rFonts w:cs="Arial"/>
                <w:b/>
                <w:bCs/>
                <w:vertAlign w:val="superscript"/>
              </w:rPr>
              <w:t>2</w:t>
            </w:r>
            <w:r>
              <w:rPr>
                <w:rFonts w:cs="Arial"/>
                <w:b/>
                <w:bCs/>
              </w:rPr>
              <w:t xml:space="preserve"> </w:t>
            </w:r>
          </w:p>
          <w:p w:rsidR="00D016CE" w:rsidRDefault="00D016CE">
            <w:pPr>
              <w:jc w:val="center"/>
              <w:rPr>
                <w:rFonts w:cs="Arial"/>
                <w:b/>
                <w:bCs/>
                <w:sz w:val="16"/>
                <w:szCs w:val="16"/>
              </w:rPr>
            </w:pPr>
            <w:r>
              <w:rPr>
                <w:rFonts w:cs="Arial"/>
                <w:b/>
                <w:bCs/>
                <w:sz w:val="16"/>
                <w:szCs w:val="16"/>
              </w:rPr>
              <w:t>(Gesamtheit aller Wohnungen des Gebäudes, in dem die Wohnung liegt)</w:t>
            </w:r>
          </w:p>
        </w:tc>
      </w:tr>
      <w:tr w:rsidR="00D016CE" w:rsidTr="00D016CE">
        <w:trPr>
          <w:trHeight w:val="300"/>
        </w:trPr>
        <w:tc>
          <w:tcPr>
            <w:tcW w:w="0" w:type="auto"/>
            <w:vMerge/>
            <w:tcBorders>
              <w:top w:val="nil"/>
              <w:left w:val="single" w:sz="8" w:space="0" w:color="auto"/>
              <w:bottom w:val="single" w:sz="4" w:space="0" w:color="000000"/>
              <w:right w:val="single" w:sz="8" w:space="0" w:color="auto"/>
            </w:tcBorders>
            <w:vAlign w:val="center"/>
            <w:hideMark/>
          </w:tcPr>
          <w:p w:rsidR="00D016CE" w:rsidRDefault="00D016CE">
            <w:pPr>
              <w:rPr>
                <w:rFonts w:cs="Arial"/>
              </w:rPr>
            </w:pPr>
          </w:p>
        </w:tc>
        <w:tc>
          <w:tcPr>
            <w:tcW w:w="1078"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100 - 250</w:t>
            </w:r>
          </w:p>
        </w:tc>
        <w:tc>
          <w:tcPr>
            <w:tcW w:w="1078"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251 - 500</w:t>
            </w:r>
          </w:p>
        </w:tc>
        <w:tc>
          <w:tcPr>
            <w:tcW w:w="1215"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501 - 1000</w:t>
            </w:r>
          </w:p>
        </w:tc>
        <w:tc>
          <w:tcPr>
            <w:tcW w:w="1188" w:type="dxa"/>
            <w:tcBorders>
              <w:top w:val="nil"/>
              <w:left w:val="nil"/>
              <w:bottom w:val="single" w:sz="4" w:space="0" w:color="auto"/>
              <w:right w:val="single" w:sz="8" w:space="0" w:color="auto"/>
            </w:tcBorders>
            <w:shd w:val="clear" w:color="auto" w:fill="FFCC00"/>
            <w:noWrap/>
            <w:vAlign w:val="bottom"/>
            <w:hideMark/>
          </w:tcPr>
          <w:p w:rsidR="00D016CE" w:rsidRDefault="00D016CE">
            <w:pPr>
              <w:jc w:val="center"/>
              <w:rPr>
                <w:rFonts w:cs="Arial"/>
                <w:b/>
                <w:bCs/>
              </w:rPr>
            </w:pPr>
            <w:r>
              <w:rPr>
                <w:rFonts w:cs="Arial"/>
                <w:b/>
                <w:bCs/>
              </w:rPr>
              <w:t>über 1000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1 Person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80,00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76,00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73,00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70,00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2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104,00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99,00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94,00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91,00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3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120,00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114,00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109,00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105,00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4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144,00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137,00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130,00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126,00</w:t>
            </w:r>
          </w:p>
        </w:tc>
      </w:tr>
      <w:tr w:rsidR="00D016CE" w:rsidTr="00D016CE">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hideMark/>
          </w:tcPr>
          <w:p w:rsidR="00D016CE" w:rsidRDefault="00D016CE">
            <w:pPr>
              <w:rPr>
                <w:rFonts w:cs="Arial"/>
                <w:b/>
                <w:bCs/>
              </w:rPr>
            </w:pPr>
            <w:r>
              <w:rPr>
                <w:rFonts w:cs="Arial"/>
                <w:b/>
                <w:bCs/>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24,00</w:t>
            </w:r>
          </w:p>
        </w:tc>
        <w:tc>
          <w:tcPr>
            <w:tcW w:w="1078"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23,00</w:t>
            </w:r>
          </w:p>
        </w:tc>
        <w:tc>
          <w:tcPr>
            <w:tcW w:w="1215"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22,00</w:t>
            </w:r>
          </w:p>
        </w:tc>
        <w:tc>
          <w:tcPr>
            <w:tcW w:w="1188" w:type="dxa"/>
            <w:tcBorders>
              <w:top w:val="nil"/>
              <w:left w:val="nil"/>
              <w:bottom w:val="single" w:sz="8"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21,00</w:t>
            </w:r>
          </w:p>
        </w:tc>
      </w:tr>
      <w:tr w:rsidR="00D016CE" w:rsidTr="00D016CE">
        <w:trPr>
          <w:trHeight w:val="150"/>
        </w:trPr>
        <w:tc>
          <w:tcPr>
            <w:tcW w:w="8561" w:type="dxa"/>
            <w:gridSpan w:val="5"/>
            <w:tcBorders>
              <w:top w:val="single" w:sz="8" w:space="0" w:color="auto"/>
              <w:left w:val="nil"/>
              <w:bottom w:val="single" w:sz="8" w:space="0" w:color="auto"/>
              <w:right w:val="nil"/>
            </w:tcBorders>
            <w:noWrap/>
            <w:vAlign w:val="bottom"/>
          </w:tcPr>
          <w:p w:rsidR="00D016CE" w:rsidRDefault="00D016CE">
            <w:pPr>
              <w:rPr>
                <w:rFonts w:cs="Arial"/>
                <w:sz w:val="20"/>
                <w:szCs w:val="20"/>
              </w:rPr>
            </w:pPr>
          </w:p>
        </w:tc>
      </w:tr>
      <w:tr w:rsidR="00D016CE" w:rsidTr="00D016CE">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hideMark/>
          </w:tcPr>
          <w:p w:rsidR="00D016CE" w:rsidRDefault="00D016CE">
            <w:pPr>
              <w:rPr>
                <w:rFonts w:cs="Arial"/>
                <w:b/>
                <w:bCs/>
              </w:rPr>
            </w:pPr>
            <w:r>
              <w:rPr>
                <w:rFonts w:cs="Arial"/>
                <w:b/>
                <w:bCs/>
              </w:rPr>
              <w:t xml:space="preserve"> C. Fernwärme</w:t>
            </w:r>
          </w:p>
        </w:tc>
      </w:tr>
      <w:tr w:rsidR="00D016CE" w:rsidTr="00D016CE">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hideMark/>
          </w:tcPr>
          <w:p w:rsidR="00D016CE" w:rsidRDefault="00D016CE">
            <w:pPr>
              <w:jc w:val="center"/>
              <w:rPr>
                <w:rFonts w:cs="Arial"/>
              </w:rPr>
            </w:pPr>
            <w:r>
              <w:rPr>
                <w:rFonts w:cs="Arial"/>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hideMark/>
          </w:tcPr>
          <w:p w:rsidR="00D016CE" w:rsidRDefault="00D016CE">
            <w:pPr>
              <w:jc w:val="center"/>
              <w:rPr>
                <w:rFonts w:cs="Arial"/>
                <w:b/>
                <w:bCs/>
              </w:rPr>
            </w:pPr>
            <w:r>
              <w:rPr>
                <w:rFonts w:cs="Arial"/>
                <w:b/>
                <w:bCs/>
              </w:rPr>
              <w:t>Gebäudefläche in m</w:t>
            </w:r>
            <w:r>
              <w:rPr>
                <w:rFonts w:cs="Arial"/>
                <w:b/>
                <w:bCs/>
                <w:vertAlign w:val="superscript"/>
              </w:rPr>
              <w:t>2</w:t>
            </w:r>
            <w:r>
              <w:rPr>
                <w:rFonts w:cs="Arial"/>
                <w:b/>
                <w:bCs/>
              </w:rPr>
              <w:t xml:space="preserve"> </w:t>
            </w:r>
          </w:p>
          <w:p w:rsidR="00D016CE" w:rsidRDefault="00D016CE">
            <w:pPr>
              <w:jc w:val="center"/>
              <w:rPr>
                <w:rFonts w:cs="Arial"/>
                <w:b/>
                <w:bCs/>
                <w:sz w:val="16"/>
                <w:szCs w:val="16"/>
              </w:rPr>
            </w:pPr>
            <w:r>
              <w:rPr>
                <w:rFonts w:cs="Arial"/>
                <w:b/>
                <w:bCs/>
                <w:sz w:val="16"/>
                <w:szCs w:val="16"/>
              </w:rPr>
              <w:t>(Gesamtheit aller Wohnungen des Gebäudes, in dem die Wohnung liegt)</w:t>
            </w:r>
          </w:p>
        </w:tc>
      </w:tr>
      <w:tr w:rsidR="00D016CE" w:rsidTr="00D016CE">
        <w:trPr>
          <w:trHeight w:val="300"/>
        </w:trPr>
        <w:tc>
          <w:tcPr>
            <w:tcW w:w="0" w:type="auto"/>
            <w:vMerge/>
            <w:tcBorders>
              <w:top w:val="nil"/>
              <w:left w:val="single" w:sz="8" w:space="0" w:color="auto"/>
              <w:bottom w:val="single" w:sz="4" w:space="0" w:color="000000"/>
              <w:right w:val="single" w:sz="8" w:space="0" w:color="auto"/>
            </w:tcBorders>
            <w:vAlign w:val="center"/>
            <w:hideMark/>
          </w:tcPr>
          <w:p w:rsidR="00D016CE" w:rsidRDefault="00D016CE">
            <w:pPr>
              <w:rPr>
                <w:rFonts w:cs="Arial"/>
              </w:rPr>
            </w:pPr>
          </w:p>
        </w:tc>
        <w:tc>
          <w:tcPr>
            <w:tcW w:w="1078"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100 - 250</w:t>
            </w:r>
          </w:p>
        </w:tc>
        <w:tc>
          <w:tcPr>
            <w:tcW w:w="1078"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251 - 500</w:t>
            </w:r>
          </w:p>
        </w:tc>
        <w:tc>
          <w:tcPr>
            <w:tcW w:w="1215" w:type="dxa"/>
            <w:tcBorders>
              <w:top w:val="nil"/>
              <w:left w:val="nil"/>
              <w:bottom w:val="single" w:sz="4" w:space="0" w:color="auto"/>
              <w:right w:val="single" w:sz="4" w:space="0" w:color="auto"/>
            </w:tcBorders>
            <w:shd w:val="clear" w:color="auto" w:fill="FFCC00"/>
            <w:noWrap/>
            <w:vAlign w:val="bottom"/>
            <w:hideMark/>
          </w:tcPr>
          <w:p w:rsidR="00D016CE" w:rsidRDefault="00D016CE">
            <w:pPr>
              <w:jc w:val="center"/>
              <w:rPr>
                <w:rFonts w:cs="Arial"/>
                <w:b/>
                <w:bCs/>
              </w:rPr>
            </w:pPr>
            <w:r>
              <w:rPr>
                <w:rFonts w:cs="Arial"/>
                <w:b/>
                <w:bCs/>
              </w:rPr>
              <w:t>501 - 1000</w:t>
            </w:r>
          </w:p>
        </w:tc>
        <w:tc>
          <w:tcPr>
            <w:tcW w:w="1188" w:type="dxa"/>
            <w:tcBorders>
              <w:top w:val="nil"/>
              <w:left w:val="nil"/>
              <w:bottom w:val="single" w:sz="4" w:space="0" w:color="auto"/>
              <w:right w:val="single" w:sz="8" w:space="0" w:color="auto"/>
            </w:tcBorders>
            <w:shd w:val="clear" w:color="auto" w:fill="FFCC00"/>
            <w:noWrap/>
            <w:vAlign w:val="bottom"/>
            <w:hideMark/>
          </w:tcPr>
          <w:p w:rsidR="00D016CE" w:rsidRDefault="00D016CE">
            <w:pPr>
              <w:jc w:val="center"/>
              <w:rPr>
                <w:rFonts w:cs="Arial"/>
                <w:b/>
                <w:bCs/>
              </w:rPr>
            </w:pPr>
            <w:r>
              <w:rPr>
                <w:rFonts w:cs="Arial"/>
                <w:b/>
                <w:bCs/>
              </w:rPr>
              <w:t>über 1000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1 Person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96,00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91,00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87,00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84,00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2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125,00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119,00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113,00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109,00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3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144,00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137,00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130,00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126,00</w:t>
            </w:r>
          </w:p>
        </w:tc>
      </w:tr>
      <w:tr w:rsid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D016CE" w:rsidRDefault="00D016CE">
            <w:pPr>
              <w:rPr>
                <w:rFonts w:cs="Arial"/>
                <w:b/>
                <w:bCs/>
              </w:rPr>
            </w:pPr>
            <w:r>
              <w:rPr>
                <w:rFonts w:cs="Arial"/>
                <w:b/>
                <w:bCs/>
              </w:rPr>
              <w:t>4 Personen</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173,00</w:t>
            </w:r>
          </w:p>
        </w:tc>
        <w:tc>
          <w:tcPr>
            <w:tcW w:w="1078"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164,00</w:t>
            </w:r>
          </w:p>
        </w:tc>
        <w:tc>
          <w:tcPr>
            <w:tcW w:w="1215" w:type="dxa"/>
            <w:tcBorders>
              <w:top w:val="nil"/>
              <w:left w:val="nil"/>
              <w:bottom w:val="single" w:sz="4"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156,00</w:t>
            </w:r>
          </w:p>
        </w:tc>
        <w:tc>
          <w:tcPr>
            <w:tcW w:w="1188" w:type="dxa"/>
            <w:tcBorders>
              <w:top w:val="nil"/>
              <w:left w:val="nil"/>
              <w:bottom w:val="single" w:sz="4"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151,00</w:t>
            </w:r>
          </w:p>
        </w:tc>
      </w:tr>
      <w:tr w:rsidR="00D016CE" w:rsidTr="00D016CE">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hideMark/>
          </w:tcPr>
          <w:p w:rsidR="00D016CE" w:rsidRDefault="00D016CE">
            <w:pPr>
              <w:rPr>
                <w:rFonts w:cs="Arial"/>
                <w:b/>
                <w:bCs/>
              </w:rPr>
            </w:pPr>
            <w:r>
              <w:rPr>
                <w:rFonts w:cs="Arial"/>
                <w:b/>
                <w:bCs/>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29,00</w:t>
            </w:r>
          </w:p>
        </w:tc>
        <w:tc>
          <w:tcPr>
            <w:tcW w:w="1078"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28,00</w:t>
            </w:r>
          </w:p>
        </w:tc>
        <w:tc>
          <w:tcPr>
            <w:tcW w:w="1215" w:type="dxa"/>
            <w:tcBorders>
              <w:top w:val="nil"/>
              <w:left w:val="nil"/>
              <w:bottom w:val="single" w:sz="8" w:space="0" w:color="auto"/>
              <w:right w:val="single" w:sz="4"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26,00</w:t>
            </w:r>
          </w:p>
        </w:tc>
        <w:tc>
          <w:tcPr>
            <w:tcW w:w="1188" w:type="dxa"/>
            <w:tcBorders>
              <w:top w:val="nil"/>
              <w:left w:val="nil"/>
              <w:bottom w:val="single" w:sz="8" w:space="0" w:color="auto"/>
              <w:right w:val="single" w:sz="8" w:space="0" w:color="auto"/>
            </w:tcBorders>
            <w:shd w:val="clear" w:color="auto" w:fill="FFFF99"/>
            <w:noWrap/>
            <w:vAlign w:val="bottom"/>
            <w:hideMark/>
          </w:tcPr>
          <w:p w:rsidR="00D016CE" w:rsidRPr="006604D1" w:rsidRDefault="00D016CE">
            <w:pPr>
              <w:jc w:val="right"/>
              <w:rPr>
                <w:rFonts w:cs="Arial"/>
                <w:color w:val="009900"/>
              </w:rPr>
            </w:pPr>
            <w:r w:rsidRPr="006604D1">
              <w:rPr>
                <w:rFonts w:cs="Arial"/>
                <w:color w:val="009900"/>
              </w:rPr>
              <w:t>26,00</w:t>
            </w:r>
          </w:p>
        </w:tc>
      </w:tr>
    </w:tbl>
    <w:p w:rsidR="006F7135" w:rsidRDefault="006F7135" w:rsidP="00564344">
      <w:pPr>
        <w:jc w:val="both"/>
        <w:rPr>
          <w:rFonts w:cs="Arial"/>
        </w:rPr>
      </w:pPr>
    </w:p>
    <w:p w:rsidR="007F1731" w:rsidRPr="007F1731" w:rsidRDefault="007F1731" w:rsidP="007F1731">
      <w:pPr>
        <w:rPr>
          <w:rFonts w:eastAsia="Times New Roman" w:cs="Arial"/>
          <w:b/>
          <w:sz w:val="24"/>
          <w:szCs w:val="24"/>
          <w:u w:val="single"/>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F1731" w:rsidRPr="003A5269" w:rsidTr="00E82B9B">
        <w:tc>
          <w:tcPr>
            <w:tcW w:w="8640" w:type="dxa"/>
            <w:tcBorders>
              <w:top w:val="single" w:sz="4" w:space="0" w:color="auto"/>
              <w:left w:val="single" w:sz="4" w:space="0" w:color="auto"/>
              <w:bottom w:val="single" w:sz="4" w:space="0" w:color="auto"/>
              <w:right w:val="single" w:sz="4" w:space="0" w:color="auto"/>
            </w:tcBorders>
          </w:tcPr>
          <w:p w:rsidR="007F1731" w:rsidRPr="006F7135" w:rsidRDefault="007F1731" w:rsidP="00E82B9B">
            <w:pPr>
              <w:rPr>
                <w:rFonts w:cs="Arial"/>
                <w:sz w:val="20"/>
                <w:szCs w:val="20"/>
              </w:rPr>
            </w:pPr>
            <w:r w:rsidRPr="006F7135">
              <w:rPr>
                <w:rFonts w:cs="Arial"/>
                <w:sz w:val="20"/>
                <w:szCs w:val="20"/>
              </w:rPr>
              <w:t xml:space="preserve">Die </w:t>
            </w:r>
            <w:r w:rsidRPr="006F7135">
              <w:rPr>
                <w:rFonts w:cs="Arial"/>
                <w:b/>
                <w:sz w:val="20"/>
                <w:szCs w:val="20"/>
              </w:rPr>
              <w:t xml:space="preserve"> bei Holzheizung (Holzzentral-bzw. Holzeinzelofenheizung) anfallenden  Heizkosten</w:t>
            </w:r>
            <w:r w:rsidRPr="006F7135">
              <w:rPr>
                <w:rFonts w:cs="Arial"/>
                <w:sz w:val="20"/>
                <w:szCs w:val="20"/>
              </w:rPr>
              <w:t xml:space="preserve"> werden nach Bedarf anerkannt / bewilligt. Richtwert für die Angemessenheit ist hierfür der entsprechende Wert aus der Tabelle A. Heizöl.</w:t>
            </w:r>
          </w:p>
        </w:tc>
      </w:tr>
      <w:tr w:rsidR="007F1731" w:rsidRPr="003A5269" w:rsidTr="00E82B9B">
        <w:tc>
          <w:tcPr>
            <w:tcW w:w="8640" w:type="dxa"/>
            <w:tcBorders>
              <w:top w:val="single" w:sz="4" w:space="0" w:color="auto"/>
              <w:left w:val="single" w:sz="4" w:space="0" w:color="auto"/>
              <w:bottom w:val="single" w:sz="4" w:space="0" w:color="auto"/>
              <w:right w:val="single" w:sz="4" w:space="0" w:color="auto"/>
            </w:tcBorders>
          </w:tcPr>
          <w:p w:rsidR="007F1731" w:rsidRPr="006F7135" w:rsidRDefault="007F1731" w:rsidP="00E82B9B">
            <w:pPr>
              <w:jc w:val="both"/>
              <w:rPr>
                <w:rFonts w:cs="Arial"/>
                <w:b/>
                <w:sz w:val="20"/>
                <w:szCs w:val="20"/>
              </w:rPr>
            </w:pPr>
            <w:r w:rsidRPr="006F7135">
              <w:rPr>
                <w:rFonts w:cs="Arial"/>
                <w:b/>
                <w:sz w:val="20"/>
                <w:szCs w:val="20"/>
              </w:rPr>
              <w:t>Stromheizung</w:t>
            </w:r>
          </w:p>
          <w:p w:rsidR="007F1731" w:rsidRPr="006F7135" w:rsidRDefault="007F1731" w:rsidP="00E82B9B">
            <w:pPr>
              <w:jc w:val="both"/>
              <w:rPr>
                <w:rFonts w:cs="Arial"/>
                <w:b/>
                <w:sz w:val="20"/>
                <w:szCs w:val="20"/>
              </w:rPr>
            </w:pPr>
            <w:r w:rsidRPr="006F7135">
              <w:rPr>
                <w:rFonts w:cs="Arial"/>
                <w:sz w:val="20"/>
                <w:szCs w:val="20"/>
              </w:rPr>
              <w:t>Weil dem Bundesweiten Heizspiegel keine Vergleichswerte für eine elektrische Heizung zu entnehmen sind, wird in analoger Anwendung des Urteiles des BSG vom 12.06.2013, B 14 AS 60/12 R- ab 01.01.2015 auf den ungünstigsten (100-250 m²) Heizkostenverbrauch einer Fernwärmeheizung als Richtwert zurückgegriffen</w:t>
            </w:r>
          </w:p>
        </w:tc>
      </w:tr>
    </w:tbl>
    <w:p w:rsidR="007F1731" w:rsidRPr="007F1731" w:rsidRDefault="007F1731" w:rsidP="007F1731">
      <w:pPr>
        <w:rPr>
          <w:rFonts w:ascii="Times New Roman" w:eastAsia="Times New Roman" w:hAnsi="Times New Roman" w:cs="Times New Roman"/>
          <w:sz w:val="24"/>
          <w:szCs w:val="24"/>
          <w:lang w:eastAsia="de-DE"/>
        </w:rPr>
      </w:pPr>
    </w:p>
    <w:p w:rsidR="001D2AF9" w:rsidRDefault="001D2AF9" w:rsidP="00564344">
      <w:pPr>
        <w:jc w:val="both"/>
        <w:rPr>
          <w:rFonts w:cs="Arial"/>
        </w:rPr>
      </w:pPr>
    </w:p>
    <w:p w:rsidR="001C7144" w:rsidRDefault="001C7144" w:rsidP="00564344">
      <w:pPr>
        <w:jc w:val="both"/>
        <w:rPr>
          <w:rFonts w:cs="Arial"/>
        </w:rPr>
      </w:pPr>
    </w:p>
    <w:p w:rsidR="001C7144" w:rsidRDefault="001C7144" w:rsidP="00564344">
      <w:pPr>
        <w:jc w:val="both"/>
        <w:rPr>
          <w:rFonts w:cs="Arial"/>
        </w:rPr>
      </w:pPr>
    </w:p>
    <w:p w:rsidR="00AD4601" w:rsidRDefault="00AD4601" w:rsidP="00AD4601"/>
    <w:p w:rsidR="00D7437F" w:rsidRPr="007A6096" w:rsidRDefault="007C4174" w:rsidP="00D7437F">
      <w:pPr>
        <w:jc w:val="both"/>
        <w:rPr>
          <w:rFonts w:cs="Arial"/>
        </w:rPr>
      </w:pPr>
      <w:r w:rsidRPr="00993152">
        <w:rPr>
          <w:rFonts w:cs="Arial"/>
          <w:u w:val="single"/>
        </w:rPr>
        <w:lastRenderedPageBreak/>
        <w:t>Achtung:</w:t>
      </w:r>
      <w:r w:rsidRPr="00993152">
        <w:rPr>
          <w:rFonts w:cs="Arial"/>
        </w:rPr>
        <w:t xml:space="preserve"> Im Rahmen der KdU können nur die auf die Heizkosten entfallenden Anteile der Stromkosten übernommen werden.</w:t>
      </w:r>
      <w:r w:rsidR="00D7437F">
        <w:rPr>
          <w:rFonts w:cs="Arial"/>
        </w:rPr>
        <w:t xml:space="preserve"> </w:t>
      </w:r>
      <w:r w:rsidR="00D7437F" w:rsidRPr="007A6096">
        <w:rPr>
          <w:rFonts w:cs="Arial"/>
        </w:rPr>
        <w:t xml:space="preserve">Betriebsstrom für Heizanlagen ist  als Bestandteil der Heizkosten i. S. von § 22 SGB II zu berücksichtigen (BSG,  03.12.2015 - B 4 AS 47/14 R-). </w:t>
      </w:r>
    </w:p>
    <w:p w:rsidR="001A0C20" w:rsidRPr="00993152" w:rsidRDefault="007C4174" w:rsidP="00234249">
      <w:pPr>
        <w:jc w:val="both"/>
        <w:rPr>
          <w:rFonts w:cs="Arial"/>
        </w:rPr>
      </w:pPr>
      <w:r w:rsidRPr="00993152">
        <w:rPr>
          <w:rFonts w:cs="Arial"/>
        </w:rPr>
        <w:t xml:space="preserve"> Die übrigen Kosten für Haushaltsenergie (z.B.  Kochfeuerung, Beleuchtung usw.) sind aus der Regelleistung zu bestreiten. Ist aus den Stromabrechnungen nicht zu erkennen, welcher Anteil auf die Heizkosten und welcher Anteil auf die Haushaltsenergie fällt</w:t>
      </w:r>
      <w:r w:rsidR="006E5CFD" w:rsidRPr="00993152">
        <w:rPr>
          <w:rFonts w:cs="Arial"/>
        </w:rPr>
        <w:t xml:space="preserve"> (z.B. mangels getrennter Zähler)</w:t>
      </w:r>
      <w:r w:rsidRPr="00993152">
        <w:rPr>
          <w:rFonts w:cs="Arial"/>
        </w:rPr>
        <w:t>, ist der i</w:t>
      </w:r>
      <w:r w:rsidR="001A0C20" w:rsidRPr="00993152">
        <w:rPr>
          <w:rFonts w:cs="Arial"/>
        </w:rPr>
        <w:t>m</w:t>
      </w:r>
      <w:r w:rsidRPr="00993152">
        <w:rPr>
          <w:rFonts w:cs="Arial"/>
        </w:rPr>
        <w:t xml:space="preserve"> Regel</w:t>
      </w:r>
      <w:r w:rsidR="001A0C20" w:rsidRPr="00993152">
        <w:rPr>
          <w:rFonts w:cs="Arial"/>
        </w:rPr>
        <w:t>bedarf (RB)</w:t>
      </w:r>
      <w:r w:rsidRPr="00993152">
        <w:rPr>
          <w:rFonts w:cs="Arial"/>
        </w:rPr>
        <w:t xml:space="preserve"> enthaltene Anteil an der Haushaltsenergie vom Gesamtbetrag abzuziehen</w:t>
      </w:r>
      <w:r w:rsidR="001A0C20" w:rsidRPr="00993152">
        <w:rPr>
          <w:rFonts w:cs="Arial"/>
        </w:rPr>
        <w:t xml:space="preserve"> (so auch Bayerisches LSG, 07.10</w:t>
      </w:r>
      <w:r w:rsidRPr="00993152">
        <w:rPr>
          <w:rFonts w:cs="Arial"/>
        </w:rPr>
        <w:t>.</w:t>
      </w:r>
      <w:r w:rsidR="001A0C20" w:rsidRPr="00993152">
        <w:rPr>
          <w:rFonts w:cs="Arial"/>
        </w:rPr>
        <w:t>2013 – L 7 AS 644/13 B ER - ).</w:t>
      </w:r>
    </w:p>
    <w:p w:rsidR="001A0C20" w:rsidRPr="00993152" w:rsidRDefault="001A0C20" w:rsidP="00234249">
      <w:pPr>
        <w:jc w:val="both"/>
        <w:rPr>
          <w:rFonts w:cs="Arial"/>
        </w:rPr>
      </w:pPr>
    </w:p>
    <w:p w:rsidR="001A0C20" w:rsidRPr="007A6096" w:rsidRDefault="001A0C20" w:rsidP="00234249">
      <w:pPr>
        <w:jc w:val="both"/>
        <w:rPr>
          <w:rFonts w:cs="Arial"/>
        </w:rPr>
      </w:pPr>
      <w:r w:rsidRPr="007A6096">
        <w:rPr>
          <w:rFonts w:cs="Arial"/>
        </w:rPr>
        <w:t xml:space="preserve">Anteile Haushaltsenergie </w:t>
      </w:r>
      <w:r w:rsidR="00684930" w:rsidRPr="007A6096">
        <w:rPr>
          <w:rFonts w:cs="Arial"/>
        </w:rPr>
        <w:t xml:space="preserve">ab </w:t>
      </w:r>
      <w:r w:rsidRPr="007A6096">
        <w:rPr>
          <w:rFonts w:cs="Arial"/>
        </w:rPr>
        <w:t>201</w:t>
      </w:r>
      <w:r w:rsidR="00C619E7" w:rsidRPr="007A6096">
        <w:rPr>
          <w:rFonts w:cs="Arial"/>
        </w:rPr>
        <w:t>6</w:t>
      </w:r>
      <w:r w:rsidRPr="007A6096">
        <w:rPr>
          <w:rFonts w:cs="Arial"/>
        </w:rPr>
        <w:t xml:space="preserve"> in EUR:</w:t>
      </w:r>
    </w:p>
    <w:p w:rsidR="001A0C20" w:rsidRPr="007A6096" w:rsidRDefault="00370960" w:rsidP="00234249">
      <w:pPr>
        <w:jc w:val="both"/>
        <w:rPr>
          <w:rFonts w:cs="Arial"/>
        </w:rPr>
      </w:pPr>
      <w:r w:rsidRPr="007A6096">
        <w:rPr>
          <w:rFonts w:cs="Arial"/>
        </w:rPr>
        <w:t xml:space="preserve">RB </w:t>
      </w:r>
      <w:r w:rsidR="00C619E7" w:rsidRPr="007A6096">
        <w:rPr>
          <w:rFonts w:cs="Arial"/>
        </w:rPr>
        <w:t>404</w:t>
      </w:r>
      <w:r w:rsidRPr="007A6096">
        <w:rPr>
          <w:rFonts w:cs="Arial"/>
        </w:rPr>
        <w:t xml:space="preserve"> = 2</w:t>
      </w:r>
      <w:r w:rsidR="002104DC" w:rsidRPr="007A6096">
        <w:rPr>
          <w:rFonts w:cs="Arial"/>
        </w:rPr>
        <w:t>9,</w:t>
      </w:r>
      <w:r w:rsidR="00C619E7" w:rsidRPr="007A6096">
        <w:rPr>
          <w:rFonts w:cs="Arial"/>
        </w:rPr>
        <w:t>93</w:t>
      </w:r>
      <w:r w:rsidRPr="007A6096">
        <w:rPr>
          <w:rFonts w:cs="Arial"/>
        </w:rPr>
        <w:t>;  RB 3</w:t>
      </w:r>
      <w:r w:rsidR="002104DC" w:rsidRPr="007A6096">
        <w:rPr>
          <w:rFonts w:cs="Arial"/>
        </w:rPr>
        <w:t>6</w:t>
      </w:r>
      <w:r w:rsidR="00C619E7" w:rsidRPr="007A6096">
        <w:rPr>
          <w:rFonts w:cs="Arial"/>
        </w:rPr>
        <w:t>4</w:t>
      </w:r>
      <w:r w:rsidRPr="007A6096">
        <w:rPr>
          <w:rFonts w:cs="Arial"/>
        </w:rPr>
        <w:t xml:space="preserve"> = 26,</w:t>
      </w:r>
      <w:r w:rsidR="00C619E7" w:rsidRPr="007A6096">
        <w:rPr>
          <w:rFonts w:cs="Arial"/>
        </w:rPr>
        <w:t>96</w:t>
      </w:r>
      <w:r w:rsidRPr="007A6096">
        <w:rPr>
          <w:rFonts w:cs="Arial"/>
        </w:rPr>
        <w:t>;  RB 3</w:t>
      </w:r>
      <w:r w:rsidR="002104DC" w:rsidRPr="007A6096">
        <w:rPr>
          <w:rFonts w:cs="Arial"/>
        </w:rPr>
        <w:t>2</w:t>
      </w:r>
      <w:r w:rsidR="00C619E7" w:rsidRPr="007A6096">
        <w:rPr>
          <w:rFonts w:cs="Arial"/>
        </w:rPr>
        <w:t>4</w:t>
      </w:r>
      <w:r w:rsidRPr="007A6096">
        <w:rPr>
          <w:rFonts w:cs="Arial"/>
        </w:rPr>
        <w:t xml:space="preserve"> = 2</w:t>
      </w:r>
      <w:r w:rsidR="00C619E7" w:rsidRPr="007A6096">
        <w:rPr>
          <w:rFonts w:cs="Arial"/>
        </w:rPr>
        <w:t>4,0</w:t>
      </w:r>
      <w:r w:rsidR="002104DC" w:rsidRPr="007A6096">
        <w:rPr>
          <w:rFonts w:cs="Arial"/>
        </w:rPr>
        <w:t>0</w:t>
      </w:r>
      <w:r w:rsidRPr="007A6096">
        <w:rPr>
          <w:rFonts w:cs="Arial"/>
        </w:rPr>
        <w:t xml:space="preserve">;  RB </w:t>
      </w:r>
      <w:r w:rsidR="002104DC" w:rsidRPr="007A6096">
        <w:rPr>
          <w:rFonts w:cs="Arial"/>
        </w:rPr>
        <w:t>30</w:t>
      </w:r>
      <w:r w:rsidR="00C619E7" w:rsidRPr="007A6096">
        <w:rPr>
          <w:rFonts w:cs="Arial"/>
        </w:rPr>
        <w:t>6</w:t>
      </w:r>
      <w:r w:rsidRPr="007A6096">
        <w:rPr>
          <w:rFonts w:cs="Arial"/>
        </w:rPr>
        <w:t xml:space="preserve"> = 9,</w:t>
      </w:r>
      <w:r w:rsidR="00C619E7" w:rsidRPr="007A6096">
        <w:rPr>
          <w:rFonts w:cs="Arial"/>
        </w:rPr>
        <w:t>41</w:t>
      </w:r>
    </w:p>
    <w:p w:rsidR="00370960" w:rsidRPr="007A6096" w:rsidRDefault="00370960" w:rsidP="00C619E7">
      <w:pPr>
        <w:tabs>
          <w:tab w:val="center" w:pos="4536"/>
        </w:tabs>
        <w:jc w:val="both"/>
        <w:rPr>
          <w:rFonts w:cs="Arial"/>
        </w:rPr>
      </w:pPr>
      <w:r w:rsidRPr="007A6096">
        <w:rPr>
          <w:rFonts w:cs="Arial"/>
        </w:rPr>
        <w:t>RB 2</w:t>
      </w:r>
      <w:r w:rsidR="00C619E7" w:rsidRPr="007A6096">
        <w:rPr>
          <w:rFonts w:cs="Arial"/>
        </w:rPr>
        <w:t>70</w:t>
      </w:r>
      <w:r w:rsidRPr="007A6096">
        <w:rPr>
          <w:rFonts w:cs="Arial"/>
        </w:rPr>
        <w:t xml:space="preserve"> =   </w:t>
      </w:r>
      <w:r w:rsidR="00C619E7" w:rsidRPr="007A6096">
        <w:rPr>
          <w:rFonts w:cs="Arial"/>
        </w:rPr>
        <w:t>9,04</w:t>
      </w:r>
      <w:r w:rsidRPr="007A6096">
        <w:rPr>
          <w:rFonts w:cs="Arial"/>
        </w:rPr>
        <w:t xml:space="preserve">;  </w:t>
      </w:r>
      <w:r w:rsidR="00C619E7" w:rsidRPr="007A6096">
        <w:rPr>
          <w:rFonts w:cs="Arial"/>
        </w:rPr>
        <w:t xml:space="preserve"> </w:t>
      </w:r>
      <w:r w:rsidRPr="007A6096">
        <w:rPr>
          <w:rFonts w:cs="Arial"/>
        </w:rPr>
        <w:t>RB 2</w:t>
      </w:r>
      <w:r w:rsidR="002104DC" w:rsidRPr="007A6096">
        <w:rPr>
          <w:rFonts w:cs="Arial"/>
        </w:rPr>
        <w:t>3</w:t>
      </w:r>
      <w:r w:rsidR="00C619E7" w:rsidRPr="007A6096">
        <w:rPr>
          <w:rFonts w:cs="Arial"/>
        </w:rPr>
        <w:t>7</w:t>
      </w:r>
      <w:r w:rsidRPr="007A6096">
        <w:rPr>
          <w:rFonts w:cs="Arial"/>
        </w:rPr>
        <w:t xml:space="preserve"> =   5,</w:t>
      </w:r>
      <w:r w:rsidR="00C619E7" w:rsidRPr="007A6096">
        <w:rPr>
          <w:rFonts w:cs="Arial"/>
        </w:rPr>
        <w:t>96</w:t>
      </w:r>
      <w:r w:rsidRPr="007A6096">
        <w:rPr>
          <w:rFonts w:cs="Arial"/>
        </w:rPr>
        <w:t xml:space="preserve">. </w:t>
      </w:r>
      <w:r w:rsidR="00C619E7" w:rsidRPr="007A6096">
        <w:rPr>
          <w:rFonts w:cs="Arial"/>
        </w:rPr>
        <w:tab/>
      </w:r>
    </w:p>
    <w:p w:rsidR="00F24DC1" w:rsidRPr="007A6096" w:rsidRDefault="00F24DC1" w:rsidP="00F24DC1">
      <w:pPr>
        <w:rPr>
          <w:rFonts w:cs="Arial"/>
        </w:rPr>
      </w:pPr>
    </w:p>
    <w:p w:rsidR="00F24DC1" w:rsidRPr="00993152" w:rsidRDefault="00F24DC1" w:rsidP="00F24DC1">
      <w:pPr>
        <w:rPr>
          <w:rFonts w:cs="Arial"/>
        </w:rPr>
      </w:pPr>
    </w:p>
    <w:p w:rsidR="00F24DC1" w:rsidRPr="00993152" w:rsidRDefault="002100F4" w:rsidP="00E5033E">
      <w:pPr>
        <w:pStyle w:val="berschrift4"/>
        <w:numPr>
          <w:ilvl w:val="2"/>
          <w:numId w:val="16"/>
        </w:numPr>
        <w:rPr>
          <w:sz w:val="24"/>
          <w:szCs w:val="24"/>
        </w:rPr>
      </w:pPr>
      <w:r w:rsidRPr="00993152">
        <w:rPr>
          <w:sz w:val="24"/>
          <w:szCs w:val="24"/>
        </w:rPr>
        <w:t xml:space="preserve">Angemessene </w:t>
      </w:r>
      <w:r w:rsidR="00DD062C" w:rsidRPr="00993152">
        <w:rPr>
          <w:sz w:val="24"/>
          <w:szCs w:val="24"/>
        </w:rPr>
        <w:t xml:space="preserve"> Warmwasserkosten</w:t>
      </w:r>
    </w:p>
    <w:p w:rsidR="00F24DC1" w:rsidRPr="00993152" w:rsidRDefault="00F24DC1" w:rsidP="00F24DC1">
      <w:pPr>
        <w:rPr>
          <w:rFonts w:cs="Arial"/>
        </w:rPr>
      </w:pPr>
    </w:p>
    <w:p w:rsidR="00F24DC1" w:rsidRDefault="00F24DC1" w:rsidP="00564344">
      <w:pPr>
        <w:jc w:val="both"/>
        <w:rPr>
          <w:rFonts w:cs="Arial"/>
        </w:rPr>
      </w:pPr>
      <w:r w:rsidRPr="00993152">
        <w:rPr>
          <w:rFonts w:cs="Arial"/>
        </w:rPr>
        <w:t xml:space="preserve">Gem.  § 22 SGB II werden Leistungen </w:t>
      </w:r>
      <w:r w:rsidRPr="00993152">
        <w:rPr>
          <w:rFonts w:cs="Arial"/>
          <w:b/>
        </w:rPr>
        <w:t>für die zentrale</w:t>
      </w:r>
      <w:r w:rsidRPr="00993152">
        <w:rPr>
          <w:rFonts w:cs="Arial"/>
        </w:rPr>
        <w:t xml:space="preserve">  Warmwasserversorgung nunmehr in tatsächlicher Höhe erbracht, soweit sie angemessen sind.</w:t>
      </w:r>
    </w:p>
    <w:p w:rsidR="009D7FF2" w:rsidRPr="00993152" w:rsidRDefault="009D7FF2" w:rsidP="00564344">
      <w:pPr>
        <w:jc w:val="both"/>
        <w:rPr>
          <w:rFonts w:cs="Arial"/>
        </w:rPr>
      </w:pPr>
    </w:p>
    <w:p w:rsidR="00F24DC1" w:rsidRPr="00993152" w:rsidRDefault="00F24DC1" w:rsidP="00564344">
      <w:pPr>
        <w:jc w:val="both"/>
        <w:rPr>
          <w:rFonts w:cs="Arial"/>
        </w:rPr>
      </w:pPr>
      <w:r w:rsidRPr="00993152">
        <w:rPr>
          <w:rFonts w:cs="Arial"/>
        </w:rPr>
        <w:t xml:space="preserve">Im Falle einer </w:t>
      </w:r>
      <w:r w:rsidRPr="009D7FF2">
        <w:rPr>
          <w:rFonts w:cs="Arial"/>
          <w:b/>
        </w:rPr>
        <w:t>dezentralen</w:t>
      </w:r>
      <w:r w:rsidRPr="00993152">
        <w:rPr>
          <w:rFonts w:cs="Arial"/>
        </w:rPr>
        <w:t xml:space="preserve"> Warmwassererzeugung, bei der keine Leistungen für Warmwasser nach  § 22 SGB II erbracht werden, sieht das Gesetz die Gewährung eines Mehrbedarfs für die leistungsberechtigten Personen vor (§ 21 Abs. 7 SGB II).</w:t>
      </w:r>
    </w:p>
    <w:p w:rsidR="00F24DC1" w:rsidRDefault="00F24DC1" w:rsidP="00564344">
      <w:pPr>
        <w:jc w:val="both"/>
        <w:rPr>
          <w:rFonts w:cs="Arial"/>
        </w:rPr>
      </w:pPr>
    </w:p>
    <w:p w:rsidR="00DD6EA0" w:rsidRPr="00FB51A2" w:rsidRDefault="00DD6EA0" w:rsidP="00DD6EA0">
      <w:pPr>
        <w:jc w:val="both"/>
        <w:rPr>
          <w:rFonts w:eastAsia="Times New Roman" w:cs="Arial"/>
          <w:color w:val="00B050"/>
          <w:lang w:eastAsia="de-DE"/>
        </w:rPr>
      </w:pPr>
      <w:r w:rsidRPr="00DD6EA0">
        <w:rPr>
          <w:rFonts w:eastAsia="Times New Roman" w:cs="Arial"/>
          <w:lang w:eastAsia="de-DE"/>
        </w:rPr>
        <w:t>Bei dezentraler Warmwasserbereitung erhalten leistungsberechtigte Personen aufgrund der gesetzlichen Vorgaben zusätzlich zu den Unterkunfts-/Heizkosten einen entsprechenden Mehrbedarf gem. § 21 Abs. 7 SGB II in Abhängigkeit von der jeweiligen Regelbedarfsstufe der leistungsberechtigten Person/en</w:t>
      </w:r>
      <w:r w:rsidR="00FB51A2">
        <w:rPr>
          <w:rFonts w:eastAsia="Times New Roman" w:cs="Arial"/>
          <w:lang w:eastAsia="de-DE"/>
        </w:rPr>
        <w:t xml:space="preserve"> </w:t>
      </w:r>
      <w:r w:rsidR="00FB51A2" w:rsidRPr="00FB51A2">
        <w:rPr>
          <w:rFonts w:eastAsia="Times New Roman" w:cs="Arial"/>
          <w:color w:val="00B050"/>
          <w:lang w:eastAsia="de-DE"/>
        </w:rPr>
        <w:t>der vom IT-Programm ALLEGRO automatisch errechnet wird</w:t>
      </w:r>
      <w:r w:rsidRPr="00FB51A2">
        <w:rPr>
          <w:rFonts w:eastAsia="Times New Roman" w:cs="Arial"/>
          <w:color w:val="00B050"/>
          <w:lang w:eastAsia="de-DE"/>
        </w:rPr>
        <w:t xml:space="preserve">. </w:t>
      </w:r>
    </w:p>
    <w:p w:rsidR="00DD6EA0" w:rsidRPr="00993152" w:rsidRDefault="00DD6EA0" w:rsidP="00564344">
      <w:pPr>
        <w:jc w:val="both"/>
        <w:rPr>
          <w:rFonts w:cs="Arial"/>
        </w:rPr>
      </w:pPr>
    </w:p>
    <w:p w:rsidR="00E773E9" w:rsidRDefault="00E773E9" w:rsidP="00E773E9">
      <w:pPr>
        <w:rPr>
          <w:rFonts w:cs="Arial"/>
        </w:rPr>
      </w:pPr>
    </w:p>
    <w:p w:rsidR="00B30F56" w:rsidRDefault="00B30F56" w:rsidP="00564344">
      <w:pPr>
        <w:jc w:val="both"/>
        <w:rPr>
          <w:rFonts w:cs="Arial"/>
        </w:rPr>
      </w:pPr>
    </w:p>
    <w:p w:rsidR="00370960" w:rsidRPr="003A5269" w:rsidRDefault="00370960" w:rsidP="00564344">
      <w:pPr>
        <w:jc w:val="both"/>
        <w:rPr>
          <w:rFonts w:cs="Arial"/>
        </w:rPr>
      </w:pPr>
    </w:p>
    <w:p w:rsidR="00370960" w:rsidRDefault="00370960" w:rsidP="00564344">
      <w:pPr>
        <w:jc w:val="both"/>
        <w:rPr>
          <w:rFonts w:cs="Arial"/>
        </w:rPr>
      </w:pPr>
    </w:p>
    <w:p w:rsidR="00073379" w:rsidRPr="00993152" w:rsidRDefault="00073379" w:rsidP="00E5033E">
      <w:pPr>
        <w:pStyle w:val="berschrift2"/>
        <w:numPr>
          <w:ilvl w:val="1"/>
          <w:numId w:val="15"/>
        </w:numPr>
        <w:ind w:left="567" w:hanging="567"/>
        <w:rPr>
          <w:sz w:val="24"/>
          <w:szCs w:val="24"/>
        </w:rPr>
      </w:pPr>
      <w:r w:rsidRPr="00993152">
        <w:rPr>
          <w:sz w:val="24"/>
          <w:szCs w:val="24"/>
        </w:rPr>
        <w:t>Schönheitsreparaturen</w:t>
      </w:r>
      <w:r w:rsidR="00C905B2" w:rsidRPr="00993152">
        <w:rPr>
          <w:sz w:val="24"/>
          <w:szCs w:val="24"/>
        </w:rPr>
        <w:t>, Ein- und Auszugsrenovierung</w:t>
      </w:r>
      <w:r w:rsidR="00D554A6">
        <w:rPr>
          <w:sz w:val="24"/>
          <w:szCs w:val="24"/>
        </w:rPr>
        <w:t xml:space="preserve">, </w:t>
      </w:r>
      <w:r w:rsidR="00D554A6" w:rsidRPr="00F23F1A">
        <w:rPr>
          <w:sz w:val="24"/>
          <w:szCs w:val="24"/>
        </w:rPr>
        <w:t>Kleinreparaturen</w:t>
      </w:r>
    </w:p>
    <w:p w:rsidR="00073379" w:rsidRPr="00993152" w:rsidRDefault="00073379" w:rsidP="00F24DC1">
      <w:pPr>
        <w:rPr>
          <w:rFonts w:cs="Arial"/>
          <w:b/>
          <w:sz w:val="24"/>
          <w:szCs w:val="24"/>
        </w:rPr>
      </w:pPr>
    </w:p>
    <w:p w:rsidR="0092741C" w:rsidRPr="00993152" w:rsidRDefault="0092741C" w:rsidP="004A10ED">
      <w:pPr>
        <w:jc w:val="both"/>
        <w:rPr>
          <w:rFonts w:cs="Arial"/>
        </w:rPr>
      </w:pPr>
      <w:r w:rsidRPr="00993152">
        <w:rPr>
          <w:rFonts w:cs="Arial"/>
        </w:rPr>
        <w:t xml:space="preserve">Bei entsprechender mietvertraglicher Vereinbarung </w:t>
      </w:r>
      <w:r w:rsidR="004A10ED" w:rsidRPr="00993152">
        <w:rPr>
          <w:rFonts w:cs="Arial"/>
        </w:rPr>
        <w:t xml:space="preserve">gehören auch notwendige </w:t>
      </w:r>
    </w:p>
    <w:p w:rsidR="004A10ED" w:rsidRPr="00993152" w:rsidRDefault="0092741C" w:rsidP="004A10ED">
      <w:pPr>
        <w:jc w:val="both"/>
        <w:rPr>
          <w:rFonts w:cs="Arial"/>
        </w:rPr>
      </w:pPr>
      <w:r w:rsidRPr="00993152">
        <w:rPr>
          <w:rFonts w:cs="Arial"/>
        </w:rPr>
        <w:t xml:space="preserve">und angemessene </w:t>
      </w:r>
      <w:r w:rsidR="004A10ED" w:rsidRPr="00993152">
        <w:rPr>
          <w:rFonts w:cs="Arial"/>
        </w:rPr>
        <w:t>Aufwendungen für  Schönheitsreparaturen</w:t>
      </w:r>
      <w:r w:rsidR="00C905B2" w:rsidRPr="00993152">
        <w:rPr>
          <w:rFonts w:cs="Arial"/>
        </w:rPr>
        <w:t>, Einzugs- und Auszugsrenovierungen</w:t>
      </w:r>
      <w:r w:rsidR="004A10ED" w:rsidRPr="00993152">
        <w:rPr>
          <w:rFonts w:cs="Arial"/>
        </w:rPr>
        <w:t xml:space="preserve"> (BSG 19.03.2008 –B 11 b AS 31/06 R-</w:t>
      </w:r>
      <w:r w:rsidR="00C905B2" w:rsidRPr="00993152">
        <w:rPr>
          <w:rFonts w:cs="Arial"/>
        </w:rPr>
        <w:t xml:space="preserve">, BSG 16.12.2008 –B 4 AS 49/07 R- , BSG 06.10.2011- B 14 AS 66/11 R- </w:t>
      </w:r>
      <w:r w:rsidR="004A10ED" w:rsidRPr="00993152">
        <w:rPr>
          <w:rFonts w:cs="Arial"/>
        </w:rPr>
        <w:t>)</w:t>
      </w:r>
      <w:r w:rsidRPr="00993152">
        <w:rPr>
          <w:rFonts w:cs="Arial"/>
        </w:rPr>
        <w:t xml:space="preserve"> zu den Kosten der Unterkunft im Sinne von § 22 Abs. 1 SGB II</w:t>
      </w:r>
      <w:r w:rsidR="004A10ED" w:rsidRPr="00993152">
        <w:rPr>
          <w:rFonts w:cs="Arial"/>
        </w:rPr>
        <w:t>.</w:t>
      </w:r>
    </w:p>
    <w:p w:rsidR="00266F28" w:rsidRPr="00993152" w:rsidRDefault="00266F28" w:rsidP="004A10ED">
      <w:pPr>
        <w:jc w:val="both"/>
        <w:rPr>
          <w:rFonts w:cs="Arial"/>
        </w:rPr>
      </w:pPr>
      <w:r w:rsidRPr="00993152">
        <w:rPr>
          <w:rFonts w:cs="Arial"/>
        </w:rPr>
        <w:t xml:space="preserve">Hierfür wird im Jobcenter Passau Land auf Antrag eine Pauschale für Wandfarben, Pinseln und Abdeckfolien von 100 EUR gewährt. Mit diesem Betrag sind grundsätzlich Schönheitsreparaturen im herkömmlichen Umfang für eine bis zu ca. 70 m² große Wohnung möglich. Begehrt ein LB einen höheren Betrag, hat er dies entsprechend und nachvollziehbar zu begründen. </w:t>
      </w:r>
    </w:p>
    <w:p w:rsidR="00C905B2" w:rsidRDefault="00C905B2" w:rsidP="004A10ED">
      <w:pPr>
        <w:jc w:val="both"/>
        <w:rPr>
          <w:rFonts w:cs="Arial"/>
        </w:rPr>
      </w:pPr>
      <w:r w:rsidRPr="00993152">
        <w:rPr>
          <w:rFonts w:cs="Arial"/>
        </w:rPr>
        <w:t xml:space="preserve">Die Angemessenheit von Renovierungskosten (Ein- bzw. Auszugsrenovierung) muss </w:t>
      </w:r>
      <w:r w:rsidRPr="00993152">
        <w:rPr>
          <w:rFonts w:cs="Arial"/>
          <w:u w:val="single"/>
        </w:rPr>
        <w:t>unabhängig</w:t>
      </w:r>
      <w:r w:rsidRPr="00993152">
        <w:rPr>
          <w:rFonts w:cs="Arial"/>
        </w:rPr>
        <w:t xml:space="preserve"> von der Angemessenheit der laufenden KdU bestimmt werden (vgl. bei Einzugsrenovierung  BSG 16.12.2008 –B 4 AS 49/07 R- und bei Auszugsrenovierung BSG 06.10.2011- B 14 AS 66/11 R-). </w:t>
      </w:r>
    </w:p>
    <w:p w:rsidR="001C7144" w:rsidRPr="00993152" w:rsidRDefault="001C7144" w:rsidP="004A10ED">
      <w:pPr>
        <w:jc w:val="both"/>
        <w:rPr>
          <w:rFonts w:cs="Arial"/>
        </w:rPr>
      </w:pPr>
    </w:p>
    <w:p w:rsidR="00F44512" w:rsidRPr="00993152" w:rsidRDefault="00F44512" w:rsidP="004A10ED">
      <w:pPr>
        <w:jc w:val="both"/>
        <w:rPr>
          <w:rFonts w:cs="Arial"/>
        </w:rPr>
      </w:pPr>
      <w:r w:rsidRPr="00993152">
        <w:rPr>
          <w:rFonts w:cs="Arial"/>
        </w:rPr>
        <w:lastRenderedPageBreak/>
        <w:t>Bei der Höhe der Kosten ist zu berücksichtigen, dass der LB grundsätzlich gehalten ist, Kosten durch entsprechende zumutbare Eigenleistungen zu minimieren (vgl. BSG 06.05.2010 – B 14 AS 7/09 R-).</w:t>
      </w:r>
    </w:p>
    <w:p w:rsidR="00C36243" w:rsidRPr="00993152" w:rsidRDefault="00C36243" w:rsidP="004A10ED">
      <w:pPr>
        <w:jc w:val="both"/>
        <w:rPr>
          <w:rFonts w:cs="Arial"/>
        </w:rPr>
      </w:pPr>
    </w:p>
    <w:p w:rsidR="001D2AF9" w:rsidRDefault="004A10ED" w:rsidP="004A10ED">
      <w:pPr>
        <w:jc w:val="both"/>
        <w:rPr>
          <w:rFonts w:cs="Arial"/>
        </w:rPr>
      </w:pPr>
      <w:r w:rsidRPr="00993152">
        <w:rPr>
          <w:rFonts w:cs="Arial"/>
        </w:rPr>
        <w:t xml:space="preserve">Lediglich wenn </w:t>
      </w:r>
      <w:r w:rsidRPr="00993152">
        <w:rPr>
          <w:rFonts w:cs="Arial"/>
          <w:u w:val="single"/>
        </w:rPr>
        <w:t>feststeht</w:t>
      </w:r>
      <w:r w:rsidRPr="00993152">
        <w:rPr>
          <w:rFonts w:cs="Arial"/>
        </w:rPr>
        <w:t xml:space="preserve">, dass die Ausführung der Reparaturen rechtlich nicht wirksam auf den Mieter übertragen wurde (starre Fristenpläne) </w:t>
      </w:r>
      <w:r w:rsidRPr="00993152">
        <w:rPr>
          <w:rFonts w:cs="Arial"/>
          <w:u w:val="single"/>
        </w:rPr>
        <w:t>und</w:t>
      </w:r>
      <w:r w:rsidRPr="00993152">
        <w:rPr>
          <w:rFonts w:cs="Arial"/>
        </w:rPr>
        <w:t xml:space="preserve"> es dem LB nach seinen Fähigkeiten zuzumuten ist, sich gegenüber dem Vermieter auf eine mögliche Unwirksamkeit zu berufen, kann die Übernahme vom Jobcenter abgelehnt werden.</w:t>
      </w:r>
      <w:r w:rsidR="00C905B2" w:rsidRPr="00993152">
        <w:rPr>
          <w:rFonts w:cs="Arial"/>
        </w:rPr>
        <w:t xml:space="preserve"> Hierzu m</w:t>
      </w:r>
      <w:r w:rsidR="00C36243" w:rsidRPr="00993152">
        <w:rPr>
          <w:rFonts w:cs="Arial"/>
        </w:rPr>
        <w:t>üsste</w:t>
      </w:r>
      <w:r w:rsidR="00C905B2" w:rsidRPr="00993152">
        <w:rPr>
          <w:rFonts w:cs="Arial"/>
        </w:rPr>
        <w:t xml:space="preserve"> das Jobcenter vorab, wenn es eine Vereinbarung über die Unterkunftskosten für unwirksam hält, ein Kostensenkungsverfahren nach § 22 Abs. 1 Satz 3 SGB II einleiten, weil eine auf einer unwirksamen Vereinbarung beruhende Aufwendung</w:t>
      </w:r>
      <w:r w:rsidR="00F44512" w:rsidRPr="00993152">
        <w:rPr>
          <w:rFonts w:cs="Arial"/>
        </w:rPr>
        <w:t xml:space="preserve"> (gemeint ist hier die Renovierungsregelung im Mietvertrag an sich)</w:t>
      </w:r>
      <w:r w:rsidR="00C905B2" w:rsidRPr="00993152">
        <w:rPr>
          <w:rFonts w:cs="Arial"/>
        </w:rPr>
        <w:t xml:space="preserve"> nicht angemessen ist (vgl. BSG 24.11.2011 – B 14 AS 15/11 R-). </w:t>
      </w:r>
      <w:r w:rsidR="00C36243" w:rsidRPr="00993152">
        <w:rPr>
          <w:rFonts w:cs="Arial"/>
        </w:rPr>
        <w:t xml:space="preserve"> </w:t>
      </w:r>
    </w:p>
    <w:p w:rsidR="001D2AF9" w:rsidRDefault="001D2AF9" w:rsidP="004A10ED">
      <w:pPr>
        <w:jc w:val="both"/>
        <w:rPr>
          <w:rFonts w:cs="Arial"/>
        </w:rPr>
      </w:pPr>
    </w:p>
    <w:p w:rsidR="004A10ED" w:rsidRDefault="00C36243" w:rsidP="004A10ED">
      <w:pPr>
        <w:jc w:val="both"/>
        <w:rPr>
          <w:rFonts w:cs="Arial"/>
        </w:rPr>
      </w:pPr>
      <w:r w:rsidRPr="00993152">
        <w:rPr>
          <w:rFonts w:cs="Arial"/>
        </w:rPr>
        <w:t xml:space="preserve">In der Praxis wird die Klärung der Rechtsfrage, ob eine Vereinbarung im Mietvertrag unwirksam ist oder nicht, von hier nicht zu leisten sein, so dass Reparatur- und Renovierungskosten bei Anfall lediglich hinsichtlich ihrer Angemessenheit -unabhängig von denen der laufenden KdU- geprüft werden. </w:t>
      </w:r>
    </w:p>
    <w:p w:rsidR="00754CDA" w:rsidRDefault="00754CDA" w:rsidP="004A10ED">
      <w:pPr>
        <w:jc w:val="both"/>
        <w:rPr>
          <w:rFonts w:cs="Arial"/>
        </w:rPr>
      </w:pPr>
    </w:p>
    <w:p w:rsidR="00754CDA" w:rsidRPr="00F23F1A" w:rsidRDefault="00754CDA" w:rsidP="00754CDA">
      <w:pPr>
        <w:jc w:val="both"/>
        <w:rPr>
          <w:rFonts w:cs="Arial"/>
        </w:rPr>
      </w:pPr>
      <w:r w:rsidRPr="00F23F1A">
        <w:rPr>
          <w:rFonts w:cs="Arial"/>
        </w:rPr>
        <w:t>Aufwendungen für auf den Mieter abgewälzte Kleinreparaturen sind in der Regelleistung enthalten (BSG 19.03.2008 – B 11b AS 31/06 R -).</w:t>
      </w:r>
    </w:p>
    <w:p w:rsidR="00754CDA" w:rsidRPr="00F23F1A" w:rsidRDefault="00754CDA" w:rsidP="00754CDA">
      <w:pPr>
        <w:jc w:val="both"/>
        <w:rPr>
          <w:rFonts w:cs="Arial"/>
        </w:rPr>
      </w:pPr>
      <w:r w:rsidRPr="00F23F1A">
        <w:rPr>
          <w:rFonts w:cs="Arial"/>
        </w:rPr>
        <w:t>Kleinreparaturkosten sind nicht vom Leistungsträger des SGB II als Unterkunftskosten zu übernehmen.</w:t>
      </w:r>
    </w:p>
    <w:p w:rsidR="00754CDA" w:rsidRPr="00F23F1A" w:rsidRDefault="00754CDA" w:rsidP="00754CDA">
      <w:pPr>
        <w:jc w:val="both"/>
        <w:rPr>
          <w:rFonts w:cs="Arial"/>
        </w:rPr>
      </w:pPr>
      <w:r w:rsidRPr="00F23F1A">
        <w:rPr>
          <w:rFonts w:cs="Arial"/>
        </w:rPr>
        <w:t>Im Rahmen der Instandhaltung anfallende Kleinreparaturen (z.B. Boiler) gehören nicht zu den Kosten der Unterkunft, da  das BSG in Abgrenzung zu Kosten einer Einzugsrenovierung ausdrücklich festgehalten hat, dass Kosten für "Reparatur und Instandhaltung der Wohnung"  im Regelsatz enthalten sind. (vgl. BSG 16.12.2008 – B 4 AS 49/07 R- ,</w:t>
      </w:r>
      <w:r w:rsidRPr="00F23F1A">
        <w:t xml:space="preserve"> </w:t>
      </w:r>
      <w:r w:rsidRPr="00F23F1A">
        <w:rPr>
          <w:rFonts w:cs="Arial"/>
        </w:rPr>
        <w:t>Sächsisches LSG, Beschluss vom 03.04.2014 - L 7 AS 536/11 NZB-).</w:t>
      </w:r>
    </w:p>
    <w:p w:rsidR="00754CDA" w:rsidRPr="00754CDA" w:rsidRDefault="00754CDA" w:rsidP="00754CDA">
      <w:pPr>
        <w:jc w:val="both"/>
        <w:rPr>
          <w:rFonts w:cs="Arial"/>
        </w:rPr>
      </w:pPr>
      <w:r w:rsidRPr="00754CDA">
        <w:rPr>
          <w:rFonts w:cs="Arial"/>
        </w:rPr>
        <w:t xml:space="preserve">  </w:t>
      </w:r>
    </w:p>
    <w:p w:rsidR="00933FDC" w:rsidRDefault="00933FDC" w:rsidP="00C12CCD">
      <w:pPr>
        <w:ind w:left="360"/>
        <w:jc w:val="both"/>
      </w:pPr>
    </w:p>
    <w:p w:rsidR="001D2AF9" w:rsidRDefault="001D2AF9" w:rsidP="00C12CCD">
      <w:pPr>
        <w:ind w:left="360"/>
        <w:jc w:val="both"/>
      </w:pPr>
    </w:p>
    <w:p w:rsidR="00CE17AD" w:rsidRDefault="00CE17AD" w:rsidP="00C12CCD">
      <w:pPr>
        <w:ind w:left="360"/>
        <w:jc w:val="both"/>
      </w:pPr>
    </w:p>
    <w:p w:rsidR="001D2AF9" w:rsidRPr="00993152" w:rsidRDefault="001D2AF9" w:rsidP="00C12CCD">
      <w:pPr>
        <w:ind w:left="360"/>
        <w:jc w:val="both"/>
      </w:pPr>
    </w:p>
    <w:p w:rsidR="002100F4" w:rsidRPr="00522783" w:rsidRDefault="002100F4" w:rsidP="00E5033E">
      <w:pPr>
        <w:pStyle w:val="berschrift2"/>
        <w:numPr>
          <w:ilvl w:val="1"/>
          <w:numId w:val="15"/>
        </w:numPr>
        <w:ind w:left="567" w:hanging="567"/>
        <w:rPr>
          <w:color w:val="00B050"/>
          <w:sz w:val="24"/>
          <w:szCs w:val="24"/>
        </w:rPr>
      </w:pPr>
      <w:r w:rsidRPr="00522783">
        <w:rPr>
          <w:color w:val="00B050"/>
          <w:sz w:val="24"/>
          <w:szCs w:val="24"/>
        </w:rPr>
        <w:t>Erhöhung der Aufwendungen nach nicht erforderlichen Umzug (§ 22 Abs. 1 Satz 2 SGB II)</w:t>
      </w:r>
    </w:p>
    <w:p w:rsidR="007212A7" w:rsidRPr="00993152" w:rsidRDefault="007212A7" w:rsidP="00182E14">
      <w:pPr>
        <w:ind w:left="-284" w:firstLine="644"/>
        <w:jc w:val="both"/>
      </w:pPr>
    </w:p>
    <w:p w:rsidR="00F34947" w:rsidRDefault="00F34947" w:rsidP="00182E14">
      <w:pPr>
        <w:jc w:val="both"/>
        <w:rPr>
          <w:color w:val="00B050"/>
        </w:rPr>
      </w:pPr>
      <w:r>
        <w:rPr>
          <w:color w:val="00B050"/>
        </w:rPr>
        <w:t xml:space="preserve">Erhöhen sich nach einem </w:t>
      </w:r>
      <w:r w:rsidRPr="00F34947">
        <w:rPr>
          <w:b/>
          <w:color w:val="00B050"/>
        </w:rPr>
        <w:t>nicht erforderlichen</w:t>
      </w:r>
      <w:r>
        <w:rPr>
          <w:color w:val="00B050"/>
        </w:rPr>
        <w:t xml:space="preserve"> Umzug die Aufwendungen für KdU, wird nur der bisherige Bedarf anerkannt.</w:t>
      </w:r>
    </w:p>
    <w:p w:rsidR="00F34947" w:rsidRDefault="00F34947" w:rsidP="00182E14">
      <w:pPr>
        <w:jc w:val="both"/>
        <w:rPr>
          <w:color w:val="00B050"/>
        </w:rPr>
      </w:pPr>
    </w:p>
    <w:p w:rsidR="00F34947" w:rsidRPr="00F34947" w:rsidRDefault="00F34947" w:rsidP="00F34947">
      <w:pPr>
        <w:jc w:val="both"/>
        <w:rPr>
          <w:color w:val="00B050"/>
        </w:rPr>
      </w:pPr>
      <w:r w:rsidRPr="00F34947">
        <w:rPr>
          <w:b/>
          <w:color w:val="00B050"/>
        </w:rPr>
        <w:t>Erforderlichkeit</w:t>
      </w:r>
      <w:r w:rsidRPr="00F34947">
        <w:rPr>
          <w:color w:val="00B050"/>
        </w:rPr>
        <w:t xml:space="preserve"> ist z.B. gegeben bei: Schimmelbildung, neue Arbeitsstelle an Ort außerhalb des Tagespendelbereichs, für Familie zu beengte Wohnverhältnisse,  kein eigenes Bad, dringende persönliche Gründe wie Bedrohung durch Partner, Trennung, Scheidung, Kündigung durch den Vermieter usw. </w:t>
      </w:r>
    </w:p>
    <w:p w:rsidR="00F34947" w:rsidRDefault="00F34947" w:rsidP="00182E14">
      <w:pPr>
        <w:jc w:val="both"/>
        <w:rPr>
          <w:color w:val="00B050"/>
        </w:rPr>
      </w:pPr>
    </w:p>
    <w:p w:rsidR="004C225A" w:rsidRDefault="007757EA" w:rsidP="00182E14">
      <w:pPr>
        <w:jc w:val="both"/>
        <w:rPr>
          <w:color w:val="00B050"/>
        </w:rPr>
      </w:pPr>
      <w:r w:rsidRPr="004C225A">
        <w:rPr>
          <w:color w:val="00B050"/>
        </w:rPr>
        <w:t>Durch das 9. Änderungsgesetz zum SGB II wurde in § 22 Abs. 1 Satz 2 nun klargestellt, dass der Bedarf an KdU auch dann nur in Höhe der bisherigen Aufwendungen anerkannt wird, wenn ein Umzug innerhalb eines Wohnungsmarktes</w:t>
      </w:r>
      <w:r w:rsidR="004C225A" w:rsidRPr="004C225A">
        <w:rPr>
          <w:color w:val="00B050"/>
        </w:rPr>
        <w:t xml:space="preserve"> (hier Landkreis Passau)</w:t>
      </w:r>
      <w:r w:rsidRPr="004C225A">
        <w:rPr>
          <w:color w:val="00B050"/>
        </w:rPr>
        <w:t xml:space="preserve"> ohne Zusicherung von einer angemessenen in eine unangemessene Wohnung erfolgt</w:t>
      </w:r>
      <w:r w:rsidR="004C225A">
        <w:rPr>
          <w:color w:val="00B050"/>
        </w:rPr>
        <w:t xml:space="preserve"> </w:t>
      </w:r>
      <w:r w:rsidRPr="004C225A">
        <w:rPr>
          <w:color w:val="00B050"/>
        </w:rPr>
        <w:t xml:space="preserve"> (vgl. </w:t>
      </w:r>
      <w:r w:rsidRPr="00CD6510">
        <w:rPr>
          <w:rFonts w:cs="Arial"/>
          <w:color w:val="00B050"/>
        </w:rPr>
        <w:t>BTDrs 18/8041 v. 06.04.2016)</w:t>
      </w:r>
      <w:r w:rsidRPr="004C225A">
        <w:rPr>
          <w:rFonts w:ascii="Verdana" w:hAnsi="Verdana"/>
          <w:color w:val="00B050"/>
          <w:sz w:val="19"/>
          <w:szCs w:val="19"/>
        </w:rPr>
        <w:t>.</w:t>
      </w:r>
      <w:r w:rsidRPr="004C225A">
        <w:rPr>
          <w:color w:val="00B050"/>
        </w:rPr>
        <w:t xml:space="preserve"> </w:t>
      </w:r>
    </w:p>
    <w:p w:rsidR="004C225A" w:rsidRDefault="004C225A" w:rsidP="00182E14">
      <w:pPr>
        <w:jc w:val="both"/>
        <w:rPr>
          <w:color w:val="00B050"/>
        </w:rPr>
      </w:pPr>
    </w:p>
    <w:p w:rsidR="001C7144" w:rsidRDefault="001C7144" w:rsidP="00182E14">
      <w:pPr>
        <w:jc w:val="both"/>
        <w:rPr>
          <w:color w:val="00B050"/>
        </w:rPr>
      </w:pPr>
    </w:p>
    <w:p w:rsidR="001C7144" w:rsidRDefault="001C7144" w:rsidP="00182E14">
      <w:pPr>
        <w:jc w:val="both"/>
        <w:rPr>
          <w:color w:val="00B050"/>
        </w:rPr>
      </w:pPr>
    </w:p>
    <w:p w:rsidR="004C225A" w:rsidRPr="004C225A" w:rsidRDefault="004C225A" w:rsidP="00182E14">
      <w:pPr>
        <w:jc w:val="both"/>
        <w:rPr>
          <w:color w:val="00B050"/>
        </w:rPr>
      </w:pPr>
      <w:r>
        <w:rPr>
          <w:color w:val="00B050"/>
        </w:rPr>
        <w:lastRenderedPageBreak/>
        <w:t xml:space="preserve">Die Kostenbegrenzung gilt nur solange keine Veränderungen in den persönlichen </w:t>
      </w:r>
      <w:r w:rsidR="00CD6510">
        <w:rPr>
          <w:color w:val="00B050"/>
        </w:rPr>
        <w:t>Verhältnissen</w:t>
      </w:r>
      <w:r>
        <w:rPr>
          <w:color w:val="00B050"/>
        </w:rPr>
        <w:t xml:space="preserve"> der LB eintreten, die eine Neubestimmung der KdU rechtfertigen (v</w:t>
      </w:r>
      <w:r>
        <w:rPr>
          <w:rFonts w:cs="Arial"/>
          <w:color w:val="00B050"/>
        </w:rPr>
        <w:t xml:space="preserve">gl. Schreiben StMAS Bayern vom </w:t>
      </w:r>
      <w:r w:rsidR="0012351F">
        <w:rPr>
          <w:rFonts w:cs="Arial"/>
          <w:color w:val="00B050"/>
        </w:rPr>
        <w:t>25</w:t>
      </w:r>
      <w:r>
        <w:rPr>
          <w:rFonts w:cs="Arial"/>
          <w:color w:val="00B050"/>
        </w:rPr>
        <w:t>.07.2016, AZ. I3/6074.-1/314)</w:t>
      </w:r>
      <w:r w:rsidRPr="00A9499A">
        <w:rPr>
          <w:rFonts w:cs="Arial"/>
          <w:color w:val="00B050"/>
        </w:rPr>
        <w:t>.</w:t>
      </w:r>
    </w:p>
    <w:p w:rsidR="004C225A" w:rsidRDefault="004C225A" w:rsidP="00182E14">
      <w:pPr>
        <w:jc w:val="both"/>
      </w:pPr>
    </w:p>
    <w:p w:rsidR="00A27AB3" w:rsidRDefault="00A27AB3" w:rsidP="00182E14">
      <w:pPr>
        <w:jc w:val="both"/>
      </w:pPr>
      <w:r w:rsidRPr="00993152">
        <w:t>Ergibt sich nachträglich ein wichtiger Grund für den Umzug (z.B. Aufnahme einer weiteren Person in die BG, Geburt eines Kindes) ist ab diesen Zeitpunkt der neue Richtwert anzuerkennen.</w:t>
      </w:r>
    </w:p>
    <w:p w:rsidR="006E7212" w:rsidRDefault="006E7212" w:rsidP="00182E14">
      <w:pPr>
        <w:jc w:val="both"/>
      </w:pPr>
    </w:p>
    <w:p w:rsidR="006E7212" w:rsidRPr="00F23F1A" w:rsidRDefault="006E7212" w:rsidP="006E7212">
      <w:pPr>
        <w:pStyle w:val="textbody"/>
        <w:spacing w:before="0" w:beforeAutospacing="0" w:after="120" w:afterAutospacing="0"/>
        <w:jc w:val="both"/>
        <w:rPr>
          <w:rFonts w:ascii="Arial" w:hAnsi="Arial" w:cs="Arial"/>
          <w:sz w:val="22"/>
          <w:szCs w:val="22"/>
        </w:rPr>
      </w:pPr>
      <w:r w:rsidRPr="00F23F1A">
        <w:rPr>
          <w:rFonts w:ascii="Arial" w:hAnsi="Arial" w:cs="Arial"/>
          <w:sz w:val="22"/>
          <w:szCs w:val="22"/>
        </w:rPr>
        <w:t xml:space="preserve">§ 22 Abs. 1 </w:t>
      </w:r>
      <w:r w:rsidRPr="00F23F1A">
        <w:rPr>
          <w:rFonts w:ascii="Arial" w:hAnsi="Arial" w:cs="Arial"/>
          <w:b/>
          <w:sz w:val="22"/>
          <w:szCs w:val="22"/>
        </w:rPr>
        <w:t>Satz 2</w:t>
      </w:r>
      <w:r w:rsidRPr="00F23F1A">
        <w:rPr>
          <w:rFonts w:ascii="Arial" w:hAnsi="Arial" w:cs="Arial"/>
          <w:sz w:val="22"/>
          <w:szCs w:val="22"/>
        </w:rPr>
        <w:t xml:space="preserve"> SGB II ist bei erneuter Hilfsbedürftigkeit </w:t>
      </w:r>
      <w:r w:rsidRPr="00F23F1A">
        <w:rPr>
          <w:rFonts w:ascii="Arial" w:hAnsi="Arial" w:cs="Arial"/>
          <w:b/>
          <w:sz w:val="22"/>
          <w:szCs w:val="22"/>
        </w:rPr>
        <w:t>nicht</w:t>
      </w:r>
      <w:r w:rsidRPr="00F23F1A">
        <w:rPr>
          <w:rFonts w:ascii="Arial" w:hAnsi="Arial" w:cs="Arial"/>
          <w:sz w:val="22"/>
          <w:szCs w:val="22"/>
        </w:rPr>
        <w:t xml:space="preserve"> mehr anwendbar, wenn der LB seine  Hilfebedürftigkeit für mindestens einen Kalendermonat durch bedarfsdeckendes Einkommen überwunden hatte und aus dem Leistungsbezug ausgeschieden war. </w:t>
      </w:r>
      <w:r w:rsidRPr="00F23F1A">
        <w:rPr>
          <w:rFonts w:ascii="Arial" w:hAnsi="Arial" w:cs="Arial"/>
          <w:sz w:val="22"/>
          <w:szCs w:val="22"/>
        </w:rPr>
        <w:br/>
        <w:t xml:space="preserve">Mit Eintritt der neuen Hilfebedürftigkeit liegt ein neuer Leistungsfall vor, bei dem die </w:t>
      </w:r>
      <w:r w:rsidRPr="00F23F1A">
        <w:rPr>
          <w:rFonts w:ascii="Arial" w:hAnsi="Arial" w:cs="Arial"/>
          <w:b/>
          <w:sz w:val="22"/>
          <w:szCs w:val="22"/>
        </w:rPr>
        <w:t>angemessenen</w:t>
      </w:r>
      <w:r w:rsidRPr="00F23F1A">
        <w:rPr>
          <w:rFonts w:ascii="Arial" w:hAnsi="Arial" w:cs="Arial"/>
          <w:sz w:val="22"/>
          <w:szCs w:val="22"/>
        </w:rPr>
        <w:t xml:space="preserve"> KdU der aktuellen Wohnung nach § 22 Abs. 1 </w:t>
      </w:r>
      <w:r w:rsidRPr="00F23F1A">
        <w:rPr>
          <w:rFonts w:ascii="Arial" w:hAnsi="Arial" w:cs="Arial"/>
          <w:b/>
          <w:sz w:val="22"/>
          <w:szCs w:val="22"/>
        </w:rPr>
        <w:t>S. 1</w:t>
      </w:r>
      <w:r w:rsidRPr="00F23F1A">
        <w:rPr>
          <w:rFonts w:ascii="Arial" w:hAnsi="Arial" w:cs="Arial"/>
          <w:sz w:val="22"/>
          <w:szCs w:val="22"/>
        </w:rPr>
        <w:t xml:space="preserve"> SGB II zu übernehmen sind (</w:t>
      </w:r>
      <w:r w:rsidRPr="00F23F1A">
        <w:rPr>
          <w:rFonts w:ascii="Arial" w:hAnsi="Arial" w:cs="Arial"/>
          <w:bCs/>
          <w:sz w:val="22"/>
          <w:szCs w:val="22"/>
        </w:rPr>
        <w:t>BSG 09.04.2014 - B 14 AS 23/13 R-).</w:t>
      </w:r>
      <w:r w:rsidRPr="00F23F1A">
        <w:rPr>
          <w:rFonts w:ascii="Arial" w:hAnsi="Arial" w:cs="Arial"/>
          <w:sz w:val="22"/>
          <w:szCs w:val="22"/>
        </w:rPr>
        <w:t xml:space="preserve"> </w:t>
      </w:r>
    </w:p>
    <w:p w:rsidR="006E7212" w:rsidRDefault="006E7212" w:rsidP="00182E14">
      <w:pPr>
        <w:jc w:val="both"/>
      </w:pPr>
    </w:p>
    <w:p w:rsidR="006E7212" w:rsidRPr="00993152" w:rsidRDefault="006E7212" w:rsidP="00182E14">
      <w:pPr>
        <w:jc w:val="both"/>
      </w:pPr>
    </w:p>
    <w:p w:rsidR="00E20A21" w:rsidRPr="00993152" w:rsidRDefault="00E20A21" w:rsidP="00E20A21">
      <w:pPr>
        <w:jc w:val="both"/>
      </w:pPr>
    </w:p>
    <w:p w:rsidR="003C4810" w:rsidRPr="00993152" w:rsidRDefault="003C4810" w:rsidP="00E20A21">
      <w:pPr>
        <w:jc w:val="both"/>
      </w:pPr>
    </w:p>
    <w:p w:rsidR="002100F4" w:rsidRPr="00993152" w:rsidRDefault="00C80F41" w:rsidP="00917F7C">
      <w:pPr>
        <w:pStyle w:val="berschrift2"/>
        <w:numPr>
          <w:ilvl w:val="0"/>
          <w:numId w:val="0"/>
        </w:numPr>
        <w:ind w:left="567" w:hanging="567"/>
        <w:rPr>
          <w:sz w:val="24"/>
          <w:szCs w:val="24"/>
        </w:rPr>
      </w:pPr>
      <w:r w:rsidRPr="00993152">
        <w:rPr>
          <w:sz w:val="24"/>
          <w:szCs w:val="24"/>
        </w:rPr>
        <w:t>1.5</w:t>
      </w:r>
      <w:r w:rsidR="002100F4" w:rsidRPr="00993152">
        <w:rPr>
          <w:sz w:val="24"/>
          <w:szCs w:val="24"/>
        </w:rPr>
        <w:t xml:space="preserve">    Vorübergehende Übernahme von unangemessenen Unterkunft- und  </w:t>
      </w:r>
      <w:r w:rsidR="00EE5E82" w:rsidRPr="00993152">
        <w:rPr>
          <w:sz w:val="24"/>
          <w:szCs w:val="24"/>
        </w:rPr>
        <w:t xml:space="preserve">  </w:t>
      </w:r>
      <w:r w:rsidR="002100F4" w:rsidRPr="00993152">
        <w:rPr>
          <w:sz w:val="24"/>
          <w:szCs w:val="24"/>
        </w:rPr>
        <w:t xml:space="preserve">  </w:t>
      </w:r>
      <w:r w:rsidR="00EE5E82" w:rsidRPr="00993152">
        <w:rPr>
          <w:sz w:val="24"/>
          <w:szCs w:val="24"/>
        </w:rPr>
        <w:t xml:space="preserve">            </w:t>
      </w:r>
      <w:r w:rsidR="00917F7C" w:rsidRPr="00993152">
        <w:rPr>
          <w:sz w:val="24"/>
          <w:szCs w:val="24"/>
        </w:rPr>
        <w:t xml:space="preserve">  </w:t>
      </w:r>
      <w:r w:rsidR="002100F4" w:rsidRPr="00993152">
        <w:rPr>
          <w:sz w:val="24"/>
          <w:szCs w:val="24"/>
        </w:rPr>
        <w:t>Heizkosten (Frist zur Kostensenkung) (§ 22 Abs. 1 Satz 3 SGB II)</w:t>
      </w:r>
      <w:r w:rsidRPr="00993152">
        <w:rPr>
          <w:sz w:val="24"/>
          <w:szCs w:val="24"/>
        </w:rPr>
        <w:t xml:space="preserve"> </w:t>
      </w:r>
    </w:p>
    <w:p w:rsidR="00182E14" w:rsidRPr="00993152" w:rsidRDefault="00182E14" w:rsidP="00E20A21">
      <w:pPr>
        <w:jc w:val="both"/>
      </w:pPr>
    </w:p>
    <w:p w:rsidR="002E5701" w:rsidRPr="00993152" w:rsidRDefault="002E5701" w:rsidP="00E20A21">
      <w:pPr>
        <w:jc w:val="both"/>
      </w:pPr>
      <w:r w:rsidRPr="00993152">
        <w:t xml:space="preserve">Die Vorschrift greift grundsätzlich für LB, die bei Leistungsbeginn in einer unangemessen teuren Unterkunft leben und in Fällen, in denen die Unterkunft etwa durch Mieterhöhung während des Leistungsbezuges teurer wird. </w:t>
      </w:r>
    </w:p>
    <w:p w:rsidR="002E5701" w:rsidRPr="00993152" w:rsidRDefault="002E5701" w:rsidP="00E20A21">
      <w:pPr>
        <w:jc w:val="both"/>
      </w:pPr>
      <w:r w:rsidRPr="00993152">
        <w:t>Auch wenn kurz vor Leistungsbeginn eine unangemessene Unterkunft angemietet wurde, sind die Kosten für eine Übergangsfrist zu übernehmen, außer wenn jemand absichtlich mit dem Wissen, dass er auf Leistungen angewiesen sein wird eine teure Wohnung anmietet.</w:t>
      </w:r>
    </w:p>
    <w:p w:rsidR="002E5701" w:rsidRPr="00993152" w:rsidRDefault="002E5701" w:rsidP="00E20A21">
      <w:pPr>
        <w:jc w:val="both"/>
      </w:pPr>
    </w:p>
    <w:p w:rsidR="008E0495" w:rsidRPr="00993152" w:rsidRDefault="00A149EF" w:rsidP="00E20A21">
      <w:pPr>
        <w:jc w:val="both"/>
      </w:pPr>
      <w:r w:rsidRPr="00993152">
        <w:t>Wird festgestellt, dass die KdU unangemessen sind, sind die L</w:t>
      </w:r>
      <w:r w:rsidR="00B81DB0" w:rsidRPr="00993152">
        <w:t xml:space="preserve">B </w:t>
      </w:r>
      <w:r w:rsidRPr="00993152">
        <w:t xml:space="preserve">mittels </w:t>
      </w:r>
      <w:r w:rsidRPr="00993152">
        <w:rPr>
          <w:b/>
        </w:rPr>
        <w:t>Kostensenkungsaufforderung</w:t>
      </w:r>
      <w:r w:rsidRPr="00993152">
        <w:t xml:space="preserve"> mit Fristsetzung darüber zu informieren, dass ab einen bestimmten Zeitpunkt nur noch die angemessenen Kosten übernommen werden.</w:t>
      </w:r>
    </w:p>
    <w:p w:rsidR="00A149EF" w:rsidRPr="00993152" w:rsidRDefault="00A149EF" w:rsidP="00E20A21">
      <w:pPr>
        <w:jc w:val="both"/>
        <w:rPr>
          <w:i/>
          <w:sz w:val="20"/>
          <w:szCs w:val="20"/>
        </w:rPr>
      </w:pPr>
      <w:r w:rsidRPr="00993152">
        <w:t>Dabei ist zu unterscheiden welche Kosten betroffen sind (Unterkunftskosten und/oder Heizkosten) und das entsprechende Schreiben zu versenden</w:t>
      </w:r>
      <w:r w:rsidR="003C4810" w:rsidRPr="00993152">
        <w:t xml:space="preserve"> (</w:t>
      </w:r>
      <w:r w:rsidR="003C4810" w:rsidRPr="00993152">
        <w:rPr>
          <w:i/>
          <w:sz w:val="20"/>
          <w:szCs w:val="20"/>
        </w:rPr>
        <w:t>TB § 22 SGB II -10, 11 und 12)</w:t>
      </w:r>
      <w:r w:rsidRPr="00993152">
        <w:rPr>
          <w:i/>
          <w:sz w:val="20"/>
          <w:szCs w:val="20"/>
        </w:rPr>
        <w:t xml:space="preserve">.  </w:t>
      </w:r>
    </w:p>
    <w:p w:rsidR="00EB14F4" w:rsidRPr="00993152" w:rsidRDefault="00830C7E" w:rsidP="00EB14F4">
      <w:pPr>
        <w:jc w:val="both"/>
        <w:rPr>
          <w:rFonts w:cs="Arial"/>
        </w:rPr>
      </w:pPr>
      <w:r w:rsidRPr="00993152">
        <w:t>Das Jobcenter</w:t>
      </w:r>
      <w:r w:rsidR="002E5701" w:rsidRPr="00993152">
        <w:t xml:space="preserve"> gewähr</w:t>
      </w:r>
      <w:r w:rsidRPr="00993152">
        <w:t>t</w:t>
      </w:r>
      <w:r w:rsidR="002E5701" w:rsidRPr="00993152">
        <w:t xml:space="preserve"> </w:t>
      </w:r>
      <w:r w:rsidR="00EB14F4" w:rsidRPr="00993152">
        <w:t xml:space="preserve">nunmehr aufgrund der Rechtsansicht des SG Landshut </w:t>
      </w:r>
      <w:r w:rsidR="0092741C" w:rsidRPr="00993152">
        <w:t xml:space="preserve">im Normalfall </w:t>
      </w:r>
      <w:r w:rsidR="009F4432" w:rsidRPr="00993152">
        <w:t xml:space="preserve">bei Mietwohnungen </w:t>
      </w:r>
      <w:r w:rsidR="00EB14F4" w:rsidRPr="00993152">
        <w:t>grundsätzlich</w:t>
      </w:r>
      <w:r w:rsidR="002E5701" w:rsidRPr="00993152">
        <w:t xml:space="preserve"> </w:t>
      </w:r>
      <w:r w:rsidR="00AB2F7F" w:rsidRPr="00993152">
        <w:t xml:space="preserve">sechs </w:t>
      </w:r>
      <w:r w:rsidR="002E5701" w:rsidRPr="00993152">
        <w:t>Monate</w:t>
      </w:r>
      <w:r w:rsidR="0092741C" w:rsidRPr="00993152">
        <w:t xml:space="preserve"> Übergangsfrist </w:t>
      </w:r>
      <w:r w:rsidRPr="00993152">
        <w:t>ab den Monat des Zuganges der Kostensenkungsaufforderung</w:t>
      </w:r>
      <w:r w:rsidR="002E5701" w:rsidRPr="00993152">
        <w:t>.</w:t>
      </w:r>
      <w:r w:rsidR="00EB14F4" w:rsidRPr="00993152">
        <w:t xml:space="preserve"> </w:t>
      </w:r>
      <w:r w:rsidR="00EB14F4" w:rsidRPr="00993152">
        <w:rPr>
          <w:rFonts w:cs="Arial"/>
        </w:rPr>
        <w:t>Lediglich in Einzelfällen (z.B. Alleinstehender mit KdU weit über Angemessenheit und Umzug ohne weiteres in kürzerer Zeit möglich) soll nun eine kürzere Frist</w:t>
      </w:r>
      <w:r w:rsidR="008235CB" w:rsidRPr="00993152">
        <w:rPr>
          <w:rFonts w:cs="Arial"/>
        </w:rPr>
        <w:t>, mind. aber 4 Monate,</w:t>
      </w:r>
      <w:r w:rsidR="00EB14F4" w:rsidRPr="00993152">
        <w:rPr>
          <w:rFonts w:cs="Arial"/>
        </w:rPr>
        <w:t xml:space="preserve"> gesetzt werden. Die Ermessensausübung ist in der Akte zu dokumentieren.</w:t>
      </w:r>
    </w:p>
    <w:p w:rsidR="002E5701" w:rsidRPr="00993152" w:rsidRDefault="009F4432" w:rsidP="002E5701">
      <w:pPr>
        <w:jc w:val="both"/>
      </w:pPr>
      <w:r w:rsidRPr="00993152">
        <w:t>Bei Eigenheimbesitzer</w:t>
      </w:r>
      <w:r w:rsidR="0092741C" w:rsidRPr="00993152">
        <w:t>n</w:t>
      </w:r>
      <w:r w:rsidRPr="00993152">
        <w:t xml:space="preserve"> werden immer </w:t>
      </w:r>
      <w:r w:rsidR="00AB2F7F" w:rsidRPr="00993152">
        <w:t>sechs</w:t>
      </w:r>
      <w:r w:rsidRPr="00993152">
        <w:t xml:space="preserve"> Monate gewährt. Diese Differenzierung ist gerechtfertigt, da die Rechtsfolgen für Eigenheimbesitzer in der Regel härter sind.</w:t>
      </w:r>
    </w:p>
    <w:p w:rsidR="000F62D8" w:rsidRPr="00993152" w:rsidRDefault="000F62D8" w:rsidP="002E5701">
      <w:pPr>
        <w:jc w:val="both"/>
      </w:pPr>
    </w:p>
    <w:p w:rsidR="000F62D8" w:rsidRPr="00993152" w:rsidRDefault="000F62D8" w:rsidP="000F62D8">
      <w:pPr>
        <w:jc w:val="both"/>
        <w:rPr>
          <w:rFonts w:cs="Arial"/>
        </w:rPr>
      </w:pPr>
      <w:r w:rsidRPr="00993152">
        <w:rPr>
          <w:rFonts w:cs="Arial"/>
        </w:rPr>
        <w:t xml:space="preserve">Ist bereits bei Erlass eines Bescheides bekannt, dass die Übergangsfrist zur Gewährung der tatsächlichen KdU ausläuft und ab einen gewissen Zeitpunkt innerhalb des Bewilligungszeitraumes nur noch die angemessenen KdU anerkannt werden, wird die Absenkung der KdU </w:t>
      </w:r>
      <w:r w:rsidR="00F9188F" w:rsidRPr="00993152">
        <w:rPr>
          <w:rFonts w:cs="Arial"/>
        </w:rPr>
        <w:t>bereits</w:t>
      </w:r>
      <w:r w:rsidRPr="00993152">
        <w:rPr>
          <w:rFonts w:cs="Arial"/>
        </w:rPr>
        <w:t xml:space="preserve"> bei Erlass des Bescheides berücksichtigt.</w:t>
      </w:r>
    </w:p>
    <w:p w:rsidR="000F62D8" w:rsidRDefault="000F62D8" w:rsidP="000F62D8">
      <w:pPr>
        <w:jc w:val="both"/>
        <w:rPr>
          <w:rFonts w:cs="Arial"/>
        </w:rPr>
      </w:pPr>
      <w:r w:rsidRPr="00993152">
        <w:rPr>
          <w:rFonts w:cs="Arial"/>
        </w:rPr>
        <w:t>(so auch Berlit in LPK-SGB II Rz. 84 zu § 22, wonach bereits erfolgte höhere Bewilligung</w:t>
      </w:r>
      <w:r w:rsidR="00C54110" w:rsidRPr="00993152">
        <w:rPr>
          <w:rFonts w:cs="Arial"/>
        </w:rPr>
        <w:t>en</w:t>
      </w:r>
      <w:r w:rsidRPr="00993152">
        <w:rPr>
          <w:rFonts w:cs="Arial"/>
        </w:rPr>
        <w:t xml:space="preserve"> weiter wirken, da der Ablauf der Übergangsfrist keine Änderung in den Verhältnissen i.S.d. § 48 Abs. 1 Satz 1 SGB X darstellt).</w:t>
      </w:r>
    </w:p>
    <w:p w:rsidR="001C7144" w:rsidRDefault="001C7144" w:rsidP="000F62D8">
      <w:pPr>
        <w:jc w:val="both"/>
        <w:rPr>
          <w:rFonts w:cs="Arial"/>
        </w:rPr>
      </w:pPr>
    </w:p>
    <w:p w:rsidR="001C7144" w:rsidRPr="00993152" w:rsidRDefault="001C7144" w:rsidP="000F62D8">
      <w:pPr>
        <w:jc w:val="both"/>
        <w:rPr>
          <w:rFonts w:cs="Arial"/>
        </w:rPr>
      </w:pPr>
    </w:p>
    <w:p w:rsidR="000F62D8" w:rsidRPr="00993152" w:rsidRDefault="000F62D8" w:rsidP="000F62D8">
      <w:pPr>
        <w:jc w:val="both"/>
        <w:rPr>
          <w:rFonts w:cs="Arial"/>
        </w:rPr>
      </w:pPr>
    </w:p>
    <w:p w:rsidR="00A149EF" w:rsidRPr="00993152" w:rsidRDefault="00A149EF" w:rsidP="00E20A21">
      <w:pPr>
        <w:jc w:val="both"/>
      </w:pPr>
      <w:r w:rsidRPr="00993152">
        <w:lastRenderedPageBreak/>
        <w:t xml:space="preserve">Die </w:t>
      </w:r>
      <w:r w:rsidR="0092741C" w:rsidRPr="00993152">
        <w:t>Ü</w:t>
      </w:r>
      <w:r w:rsidRPr="00993152">
        <w:rPr>
          <w:b/>
        </w:rPr>
        <w:t xml:space="preserve">bergangsfrist </w:t>
      </w:r>
      <w:r w:rsidR="0092741C" w:rsidRPr="00993152">
        <w:rPr>
          <w:b/>
        </w:rPr>
        <w:t>beträgt im Regelfall längstens</w:t>
      </w:r>
      <w:r w:rsidRPr="00993152">
        <w:t xml:space="preserve"> sechs Monaten </w:t>
      </w:r>
      <w:r w:rsidR="0092741C" w:rsidRPr="00993152">
        <w:t>und kann vom</w:t>
      </w:r>
      <w:r w:rsidRPr="00993152">
        <w:t xml:space="preserve"> Jobcenter</w:t>
      </w:r>
      <w:r w:rsidR="0092741C" w:rsidRPr="00993152">
        <w:t xml:space="preserve"> nicht einseitig ohne Sachgrund verlängert werden</w:t>
      </w:r>
      <w:r w:rsidRPr="00993152">
        <w:t xml:space="preserve"> (vgl. BSG 15.12.2009</w:t>
      </w:r>
      <w:r w:rsidR="00977657" w:rsidRPr="00993152">
        <w:t xml:space="preserve"> -</w:t>
      </w:r>
      <w:r w:rsidRPr="00993152">
        <w:t xml:space="preserve"> B 1AS 1/08 KL</w:t>
      </w:r>
      <w:r w:rsidR="00977657" w:rsidRPr="00993152">
        <w:t>-</w:t>
      </w:r>
      <w:r w:rsidRPr="00993152">
        <w:t>).</w:t>
      </w:r>
    </w:p>
    <w:p w:rsidR="002E5701" w:rsidRPr="00993152" w:rsidRDefault="002E5701" w:rsidP="00E20A21">
      <w:pPr>
        <w:jc w:val="both"/>
      </w:pPr>
      <w:r w:rsidRPr="00993152">
        <w:t>Lediglich bei besonderen Gründe</w:t>
      </w:r>
      <w:r w:rsidR="00830C7E" w:rsidRPr="00993152">
        <w:t>n</w:t>
      </w:r>
      <w:r w:rsidRPr="00993152">
        <w:t>, insbesondere grundrechtsrelevante</w:t>
      </w:r>
      <w:r w:rsidR="0092741C" w:rsidRPr="00993152">
        <w:t>n</w:t>
      </w:r>
      <w:r w:rsidRPr="00993152">
        <w:t xml:space="preserve"> Sachverhalte</w:t>
      </w:r>
      <w:r w:rsidR="0092741C" w:rsidRPr="00993152">
        <w:t>n</w:t>
      </w:r>
      <w:r w:rsidRPr="00993152">
        <w:t xml:space="preserve"> oder Härtefälle</w:t>
      </w:r>
      <w:r w:rsidR="0092741C" w:rsidRPr="00993152">
        <w:t>n</w:t>
      </w:r>
      <w:r w:rsidRPr="00993152">
        <w:t xml:space="preserve"> (z.B. BG mit gebrechlicher Person in hohem Alter der ein Umzug aus den bisherigen langjährig vertrauten sozialen Umfeld nicht mehr zugemutet werden kann, oder bei einer aktuellen schweren Erkrankung des LB) darf   die Übergangsfrist mehr als 6 Monate betragen, bzw. stellt sich hier dann die Frage, ob diese Wohnung trotz Überschreiten der Richtwerte als angemessen anzusehen ist. </w:t>
      </w:r>
    </w:p>
    <w:p w:rsidR="00D54AF3" w:rsidRPr="00993152" w:rsidRDefault="00D54AF3" w:rsidP="00E20A21">
      <w:pPr>
        <w:jc w:val="both"/>
      </w:pPr>
    </w:p>
    <w:p w:rsidR="00D54AF3" w:rsidRPr="00993152" w:rsidRDefault="00D54AF3" w:rsidP="00E20A21">
      <w:pPr>
        <w:jc w:val="both"/>
      </w:pPr>
      <w:r w:rsidRPr="00993152">
        <w:t>Änderungen in der Personenzahl rechtfertigen die Übernahme auch von ggf.  unangemessenen Kosten für eine Übergangszeit von bis zu sechs Monaten (vgl. BSG 16.04.2013 – B 14 AS 28/12 R-).</w:t>
      </w:r>
    </w:p>
    <w:p w:rsidR="00407CCD" w:rsidRPr="00993152" w:rsidRDefault="00407CCD" w:rsidP="00E20A21">
      <w:pPr>
        <w:jc w:val="both"/>
      </w:pPr>
    </w:p>
    <w:p w:rsidR="00407CCD" w:rsidRPr="00993152" w:rsidRDefault="00407CCD" w:rsidP="00E20A21">
      <w:pPr>
        <w:jc w:val="both"/>
      </w:pPr>
      <w:r w:rsidRPr="00993152">
        <w:t xml:space="preserve">Bei einer </w:t>
      </w:r>
      <w:r w:rsidRPr="00993152">
        <w:rPr>
          <w:b/>
        </w:rPr>
        <w:t xml:space="preserve">Unterbrechung des Leistungsbezuges </w:t>
      </w:r>
      <w:r w:rsidRPr="00993152">
        <w:t>und bereits zuvor erfolgter Kostensenkungsaufforderung ist zu prüfen und zu dokumentieren ob eine neue Übergangsfrist gewährt wird, oder ob und in welchem Umfang die bereits erteilte Übergangsf</w:t>
      </w:r>
      <w:r w:rsidR="003B2D98" w:rsidRPr="00993152">
        <w:t>r</w:t>
      </w:r>
      <w:r w:rsidRPr="00993152">
        <w:t>ist fortwirkt (vgl. Schreiben St</w:t>
      </w:r>
      <w:r w:rsidR="0092741C" w:rsidRPr="00993152">
        <w:t>MAS</w:t>
      </w:r>
      <w:r w:rsidRPr="00993152">
        <w:t xml:space="preserve"> vom 01.10.</w:t>
      </w:r>
      <w:r w:rsidR="0092741C" w:rsidRPr="00993152">
        <w:t>20</w:t>
      </w:r>
      <w:r w:rsidRPr="00993152">
        <w:t>08</w:t>
      </w:r>
      <w:r w:rsidR="00977657" w:rsidRPr="00993152">
        <w:t>, Az. I 3/2337-5/34/08</w:t>
      </w:r>
      <w:r w:rsidRPr="00993152">
        <w:t xml:space="preserve">).  </w:t>
      </w:r>
    </w:p>
    <w:p w:rsidR="00407CCD" w:rsidRPr="00993152" w:rsidRDefault="00407CCD" w:rsidP="00E20A21">
      <w:pPr>
        <w:jc w:val="both"/>
      </w:pPr>
      <w:r w:rsidRPr="00993152">
        <w:t>Gesichtspunkte für das Fortdauern einer bestehenden Übergangsfrist, bzw. für das Zugestehen einer erneuten ggf. verkürzten Übergangsfrist können sein:</w:t>
      </w:r>
    </w:p>
    <w:p w:rsidR="00895D45" w:rsidRPr="00993152" w:rsidRDefault="00895D45" w:rsidP="00E20A21">
      <w:pPr>
        <w:jc w:val="both"/>
      </w:pPr>
    </w:p>
    <w:p w:rsidR="00407CCD" w:rsidRPr="00993152" w:rsidRDefault="00407CCD" w:rsidP="00E5033E">
      <w:pPr>
        <w:pStyle w:val="Listenabsatz"/>
        <w:numPr>
          <w:ilvl w:val="0"/>
          <w:numId w:val="8"/>
        </w:numPr>
        <w:jc w:val="both"/>
      </w:pPr>
      <w:r w:rsidRPr="00993152">
        <w:t>Dauer der Unterbrechung der Hilfebedürftigkeit</w:t>
      </w:r>
    </w:p>
    <w:p w:rsidR="00407CCD" w:rsidRPr="00993152" w:rsidRDefault="00407CCD" w:rsidP="00E5033E">
      <w:pPr>
        <w:pStyle w:val="Listenabsatz"/>
        <w:numPr>
          <w:ilvl w:val="0"/>
          <w:numId w:val="8"/>
        </w:numPr>
        <w:jc w:val="both"/>
      </w:pPr>
      <w:r w:rsidRPr="00993152">
        <w:t>Häufigkeit der Unterbrechungen der Hilfebedürftigkeit</w:t>
      </w:r>
    </w:p>
    <w:p w:rsidR="00407CCD" w:rsidRPr="00993152" w:rsidRDefault="00407CCD" w:rsidP="00E5033E">
      <w:pPr>
        <w:pStyle w:val="Listenabsatz"/>
        <w:numPr>
          <w:ilvl w:val="0"/>
          <w:numId w:val="8"/>
        </w:numPr>
        <w:jc w:val="both"/>
      </w:pPr>
      <w:r w:rsidRPr="00993152">
        <w:t>Prognose, ob und ggf. wann erneut mit Hilfebedürftigkeit zu rechnen ist</w:t>
      </w:r>
    </w:p>
    <w:p w:rsidR="00407CCD" w:rsidRPr="00993152" w:rsidRDefault="00407CCD" w:rsidP="00E5033E">
      <w:pPr>
        <w:pStyle w:val="Listenabsatz"/>
        <w:numPr>
          <w:ilvl w:val="0"/>
          <w:numId w:val="8"/>
        </w:numPr>
        <w:jc w:val="both"/>
      </w:pPr>
      <w:r w:rsidRPr="00993152">
        <w:t>Kenntnis von der Unangemessenheit der Kosten der Wohnung.</w:t>
      </w:r>
    </w:p>
    <w:p w:rsidR="000F62D8" w:rsidRPr="00993152" w:rsidRDefault="000F62D8" w:rsidP="000F62D8">
      <w:pPr>
        <w:ind w:left="360"/>
        <w:jc w:val="both"/>
      </w:pPr>
    </w:p>
    <w:p w:rsidR="003339FC" w:rsidRPr="00993152" w:rsidRDefault="003339FC" w:rsidP="003339FC">
      <w:pPr>
        <w:ind w:left="360"/>
        <w:jc w:val="both"/>
      </w:pPr>
    </w:p>
    <w:p w:rsidR="003339FC" w:rsidRPr="00993152" w:rsidRDefault="003339FC" w:rsidP="003339FC">
      <w:pPr>
        <w:ind w:left="360"/>
        <w:jc w:val="both"/>
      </w:pPr>
    </w:p>
    <w:p w:rsidR="002100F4" w:rsidRPr="00993152" w:rsidRDefault="003339FC" w:rsidP="00EE5E82">
      <w:pPr>
        <w:pStyle w:val="berschrift2"/>
        <w:numPr>
          <w:ilvl w:val="0"/>
          <w:numId w:val="0"/>
        </w:numPr>
        <w:rPr>
          <w:sz w:val="24"/>
          <w:szCs w:val="24"/>
        </w:rPr>
      </w:pPr>
      <w:r w:rsidRPr="00993152">
        <w:rPr>
          <w:sz w:val="24"/>
          <w:szCs w:val="24"/>
        </w:rPr>
        <w:t>1.</w:t>
      </w:r>
      <w:r w:rsidR="00775F16" w:rsidRPr="00993152">
        <w:rPr>
          <w:sz w:val="24"/>
          <w:szCs w:val="24"/>
        </w:rPr>
        <w:t>6</w:t>
      </w:r>
      <w:r w:rsidR="002100F4" w:rsidRPr="00993152">
        <w:rPr>
          <w:sz w:val="24"/>
          <w:szCs w:val="24"/>
        </w:rPr>
        <w:t xml:space="preserve">  </w:t>
      </w:r>
      <w:r w:rsidRPr="00993152">
        <w:rPr>
          <w:sz w:val="24"/>
          <w:szCs w:val="24"/>
        </w:rPr>
        <w:t xml:space="preserve"> </w:t>
      </w:r>
      <w:r w:rsidR="002100F4" w:rsidRPr="00993152">
        <w:rPr>
          <w:sz w:val="24"/>
          <w:szCs w:val="24"/>
        </w:rPr>
        <w:t>einmalige Heizkosten bei „Selbstbeschaffern“</w:t>
      </w:r>
    </w:p>
    <w:p w:rsidR="00B014ED" w:rsidRPr="00993152" w:rsidRDefault="00B014ED" w:rsidP="003339FC">
      <w:pPr>
        <w:jc w:val="both"/>
      </w:pPr>
    </w:p>
    <w:p w:rsidR="00BE6A1E" w:rsidRPr="00993152" w:rsidRDefault="00B56440" w:rsidP="003339FC">
      <w:pPr>
        <w:jc w:val="both"/>
      </w:pPr>
      <w:r w:rsidRPr="00993152">
        <w:t xml:space="preserve">Einmalige Heizkosten können </w:t>
      </w:r>
      <w:r w:rsidRPr="00993152">
        <w:rPr>
          <w:b/>
        </w:rPr>
        <w:t>sowohl</w:t>
      </w:r>
      <w:r w:rsidRPr="00993152">
        <w:t xml:space="preserve"> Bezieher von </w:t>
      </w:r>
      <w:r w:rsidRPr="00993152">
        <w:rPr>
          <w:b/>
        </w:rPr>
        <w:t>laufenden Leistungen</w:t>
      </w:r>
      <w:r w:rsidRPr="00993152">
        <w:t xml:space="preserve">, die ihr Heizmaterial selbst beschaffen, </w:t>
      </w:r>
      <w:r w:rsidRPr="00993152">
        <w:rPr>
          <w:b/>
        </w:rPr>
        <w:t>als auch</w:t>
      </w:r>
      <w:r w:rsidRPr="00993152">
        <w:t xml:space="preserve"> von Personen, </w:t>
      </w:r>
      <w:r w:rsidRPr="00993152">
        <w:rPr>
          <w:b/>
        </w:rPr>
        <w:t>die keine laufenden Leistungen</w:t>
      </w:r>
      <w:r w:rsidRPr="00993152">
        <w:t xml:space="preserve"> beziehen, aber durch die Beschaffung von Heizmaterial bedürftig werden, beantragen.</w:t>
      </w:r>
      <w:r w:rsidR="006C3AA6" w:rsidRPr="00993152">
        <w:t xml:space="preserve"> </w:t>
      </w:r>
    </w:p>
    <w:p w:rsidR="0072397B" w:rsidRPr="00993152" w:rsidRDefault="0072397B" w:rsidP="003339FC">
      <w:pPr>
        <w:jc w:val="both"/>
      </w:pPr>
      <w:r w:rsidRPr="00993152">
        <w:t>Hierbei ist zu beachten, dass auch einmalige KdU Leistungen sind, die eine Versicherungspflicht in der Kranken</w:t>
      </w:r>
      <w:r w:rsidR="00645A3A">
        <w:t xml:space="preserve">- </w:t>
      </w:r>
      <w:r w:rsidRPr="00993152">
        <w:t>und Pflegeversicherung begründen (s. WDB-Beitrag Nr.: 931028)</w:t>
      </w:r>
      <w:r w:rsidR="00D54AF3" w:rsidRPr="00993152">
        <w:t>.</w:t>
      </w:r>
    </w:p>
    <w:p w:rsidR="00B56440" w:rsidRPr="00993152" w:rsidRDefault="00B56440" w:rsidP="003339FC">
      <w:pPr>
        <w:jc w:val="both"/>
      </w:pPr>
    </w:p>
    <w:p w:rsidR="00B56440" w:rsidRPr="00993152" w:rsidRDefault="00B56440" w:rsidP="003339FC">
      <w:pPr>
        <w:jc w:val="both"/>
      </w:pPr>
      <w:r w:rsidRPr="00993152">
        <w:t xml:space="preserve">Das Jobcenter Passau Land berücksichtigt grundsätzlich den </w:t>
      </w:r>
      <w:r w:rsidRPr="00993152">
        <w:rPr>
          <w:b/>
        </w:rPr>
        <w:t>Jahresbedarf der BG</w:t>
      </w:r>
      <w:r w:rsidRPr="00993152">
        <w:t xml:space="preserve"> an Heizmaterial. Abweichungen können z.B. bei bereits bekannter Arbeitsaufnahme, die ab einen gewissen Zeitpunkt zum Wegfall der Hilfebedürftigkeit und zu einer hohen Überschreitung des bisherigen Bedarfes führt, erforderlich sein.</w:t>
      </w:r>
    </w:p>
    <w:p w:rsidR="00B56440" w:rsidRDefault="00B56440" w:rsidP="003339FC">
      <w:pPr>
        <w:jc w:val="both"/>
      </w:pPr>
      <w:r w:rsidRPr="00993152">
        <w:t xml:space="preserve">Das Heizmaterial kann nun auch unterjährig (also außerhalb der ehemaligen Heizperiode) als Bedarf gewährt werden, insbesondere deshalb, weil  das Warmwasser nicht mehr in der Regelleistung enthalten ist. </w:t>
      </w:r>
    </w:p>
    <w:p w:rsidR="00F23F1A" w:rsidRDefault="00F23F1A" w:rsidP="003339FC">
      <w:pPr>
        <w:jc w:val="both"/>
      </w:pPr>
    </w:p>
    <w:p w:rsidR="00405926" w:rsidRPr="003A5269" w:rsidRDefault="00F23F1A" w:rsidP="00F23F1A">
      <w:pPr>
        <w:autoSpaceDE w:val="0"/>
        <w:autoSpaceDN w:val="0"/>
        <w:adjustRightInd w:val="0"/>
        <w:jc w:val="both"/>
        <w:rPr>
          <w:rFonts w:eastAsia="Times New Roman" w:cs="Arial"/>
          <w:lang w:eastAsia="de-DE"/>
        </w:rPr>
      </w:pPr>
      <w:r w:rsidRPr="003A5269">
        <w:rPr>
          <w:rFonts w:eastAsia="Times New Roman" w:cs="Arial"/>
          <w:lang w:eastAsia="de-DE"/>
        </w:rPr>
        <w:t>Um die Anträge auf Heizkosten für Selbstbeschaffer einer einheitlicheren Sachbearbeitung zuzuführen, ist  bei entsprechenden neuen Anträgen der als TB eingestellte Fragebogen</w:t>
      </w:r>
    </w:p>
    <w:p w:rsidR="00F23F1A" w:rsidRPr="003A5269" w:rsidRDefault="00F23F1A" w:rsidP="00F23F1A">
      <w:pPr>
        <w:autoSpaceDE w:val="0"/>
        <w:autoSpaceDN w:val="0"/>
        <w:adjustRightInd w:val="0"/>
        <w:jc w:val="both"/>
        <w:rPr>
          <w:rFonts w:eastAsia="Times New Roman" w:cs="Arial"/>
          <w:lang w:eastAsia="de-DE"/>
        </w:rPr>
      </w:pPr>
      <w:r w:rsidRPr="003A5269">
        <w:rPr>
          <w:rFonts w:eastAsia="Times New Roman" w:cs="Arial"/>
          <w:lang w:eastAsia="de-DE"/>
        </w:rPr>
        <w:t>§ 22 SGB II -240</w:t>
      </w:r>
      <w:r w:rsidR="00465A2B" w:rsidRPr="003A5269">
        <w:rPr>
          <w:rFonts w:eastAsia="Times New Roman" w:cs="Arial"/>
          <w:lang w:eastAsia="de-DE"/>
        </w:rPr>
        <w:t xml:space="preserve"> </w:t>
      </w:r>
      <w:r w:rsidRPr="003A5269">
        <w:rPr>
          <w:rFonts w:eastAsia="Times New Roman" w:cs="Arial"/>
          <w:lang w:eastAsia="de-DE"/>
        </w:rPr>
        <w:t>auszudrucken und von den Antragstellern auszufüllen.</w:t>
      </w:r>
    </w:p>
    <w:p w:rsidR="00F23F1A" w:rsidRPr="003A5269" w:rsidRDefault="00F23F1A" w:rsidP="00F23F1A">
      <w:pPr>
        <w:autoSpaceDE w:val="0"/>
        <w:autoSpaceDN w:val="0"/>
        <w:adjustRightInd w:val="0"/>
        <w:jc w:val="both"/>
        <w:rPr>
          <w:rFonts w:eastAsia="Times New Roman" w:cs="Arial"/>
          <w:lang w:eastAsia="de-DE"/>
        </w:rPr>
      </w:pPr>
      <w:r w:rsidRPr="003A5269">
        <w:rPr>
          <w:rFonts w:eastAsia="Times New Roman" w:cs="Arial"/>
          <w:lang w:eastAsia="de-DE"/>
        </w:rPr>
        <w:t xml:space="preserve">Insbesondere muss der Preis des zu beschaffenden Heizmaterials angegeben werden. Dieser ist dann mit den Höchstbeträgen zu vergleichen. </w:t>
      </w:r>
    </w:p>
    <w:p w:rsidR="00F23F1A" w:rsidRPr="00F23F1A" w:rsidRDefault="00F23F1A" w:rsidP="00F23F1A">
      <w:pPr>
        <w:jc w:val="both"/>
        <w:rPr>
          <w:color w:val="31849B" w:themeColor="accent5" w:themeShade="BF"/>
        </w:rPr>
      </w:pPr>
    </w:p>
    <w:p w:rsidR="00B56440" w:rsidRPr="00993152" w:rsidRDefault="00B56440" w:rsidP="003339FC">
      <w:pPr>
        <w:jc w:val="both"/>
      </w:pPr>
    </w:p>
    <w:p w:rsidR="00B56440" w:rsidRPr="00993152" w:rsidRDefault="00B56440" w:rsidP="003339FC">
      <w:pPr>
        <w:jc w:val="both"/>
      </w:pPr>
      <w:r w:rsidRPr="00993152">
        <w:rPr>
          <w:b/>
        </w:rPr>
        <w:lastRenderedPageBreak/>
        <w:t xml:space="preserve">Die einmaligen Heizkosten bei „Selbstbeschaffern“ müssen auch bei Bezug von laufenden Leistungen gesondert </w:t>
      </w:r>
      <w:r w:rsidR="00847226" w:rsidRPr="00993152">
        <w:rPr>
          <w:b/>
        </w:rPr>
        <w:t xml:space="preserve">und vor einer Bestellung </w:t>
      </w:r>
      <w:r w:rsidRPr="00993152">
        <w:rPr>
          <w:b/>
        </w:rPr>
        <w:t>beantragt werden</w:t>
      </w:r>
      <w:r w:rsidRPr="00993152">
        <w:t xml:space="preserve"> (vgl. Schreiben StMAS vom 09.10.2008, Az. I 3/2337-5/44/08 und vom 07.03.2012, Az. I 3/6074.04-).</w:t>
      </w:r>
    </w:p>
    <w:p w:rsidR="00F40DE5" w:rsidRPr="00993152" w:rsidRDefault="00F40DE5" w:rsidP="003339FC">
      <w:pPr>
        <w:jc w:val="both"/>
      </w:pPr>
    </w:p>
    <w:p w:rsidR="00F40DE5" w:rsidRDefault="00F40DE5" w:rsidP="003339FC">
      <w:pPr>
        <w:jc w:val="both"/>
      </w:pPr>
      <w:r w:rsidRPr="00993152">
        <w:t xml:space="preserve">Hat ein LB bereits </w:t>
      </w:r>
      <w:r w:rsidRPr="00993152">
        <w:rPr>
          <w:b/>
        </w:rPr>
        <w:t>Heizmaterial gekauft</w:t>
      </w:r>
      <w:r w:rsidRPr="00993152">
        <w:t xml:space="preserve"> </w:t>
      </w:r>
      <w:r w:rsidRPr="00993152">
        <w:rPr>
          <w:b/>
        </w:rPr>
        <w:t>und</w:t>
      </w:r>
      <w:r w:rsidRPr="00993152">
        <w:t xml:space="preserve"> auch vor Eintritt der Hilfebedürftigkeit bzw. Antragstellung </w:t>
      </w:r>
      <w:r w:rsidRPr="00993152">
        <w:rPr>
          <w:b/>
        </w:rPr>
        <w:t>bezahlt</w:t>
      </w:r>
      <w:r w:rsidRPr="00993152">
        <w:t>, kann er diese Kosten nicht erstattet bekommen, weil es sich hierbei nicht um aktuelle tatsächliche Aufwendungen handeln würde und ein Anspruch auf Ersatz bereits früher getätigter Aufwendungen nicht besteht (BSG 16.05.2007 – B 7b AS 40/06 R -).</w:t>
      </w:r>
    </w:p>
    <w:p w:rsidR="003A5269" w:rsidRPr="007A6096" w:rsidRDefault="003A5269" w:rsidP="003339FC">
      <w:pPr>
        <w:jc w:val="both"/>
      </w:pPr>
    </w:p>
    <w:p w:rsidR="003A5269" w:rsidRPr="007A6096" w:rsidRDefault="003A5269" w:rsidP="003A5269">
      <w:pPr>
        <w:jc w:val="both"/>
      </w:pPr>
      <w:r w:rsidRPr="007A6096">
        <w:t>Die Aufwendungen für Heizkosten sind nur  im Monat der Fälligkeit zu berücksichtigen, dabei ist es ohne Bedeutung, ob vom LB vor oder nach dem Fälligkeitszeitpunkt gezahlt wird. Die Erfüllung einer Forderung hat keine eigenständige bedarfsbedeutende Bedeutung gegenüber der Fälligkeit (LSG Thüringen, 29.01.2014 – L 4 AS 1680/12 -).</w:t>
      </w:r>
    </w:p>
    <w:p w:rsidR="00F40DE5" w:rsidRPr="007A6096" w:rsidRDefault="00F40DE5" w:rsidP="003339FC">
      <w:pPr>
        <w:jc w:val="both"/>
      </w:pPr>
    </w:p>
    <w:p w:rsidR="00847226" w:rsidRPr="00993152" w:rsidRDefault="00847226" w:rsidP="003339FC">
      <w:pPr>
        <w:jc w:val="both"/>
      </w:pPr>
      <w:r w:rsidRPr="00993152">
        <w:t xml:space="preserve">Wird der </w:t>
      </w:r>
      <w:r w:rsidRPr="00993152">
        <w:rPr>
          <w:b/>
        </w:rPr>
        <w:t>Antrag erst nach dem Fälligkeitsmonat</w:t>
      </w:r>
      <w:r w:rsidRPr="00993152">
        <w:t xml:space="preserve"> der Rechnung über das Heizmaterial gestellt, dann handelt es sich bei diesen einmaligen Leistungen um Schulden.</w:t>
      </w:r>
    </w:p>
    <w:p w:rsidR="00847226" w:rsidRPr="00993152" w:rsidRDefault="00847226" w:rsidP="003339FC">
      <w:pPr>
        <w:jc w:val="both"/>
      </w:pPr>
      <w:r w:rsidRPr="00993152">
        <w:t xml:space="preserve">Das bedeutet in </w:t>
      </w:r>
      <w:r w:rsidRPr="00993152">
        <w:rPr>
          <w:b/>
        </w:rPr>
        <w:t>laufenden Fällen</w:t>
      </w:r>
      <w:r w:rsidRPr="00993152">
        <w:t>, dass lediglich ein Anspruch auf ein Darlehen nach § 22 Abs. 8 SGB II besteht.</w:t>
      </w:r>
    </w:p>
    <w:p w:rsidR="00847226" w:rsidRPr="00993152" w:rsidRDefault="00847226" w:rsidP="003339FC">
      <w:pPr>
        <w:jc w:val="both"/>
      </w:pPr>
      <w:r w:rsidRPr="00993152">
        <w:t xml:space="preserve">In </w:t>
      </w:r>
      <w:r w:rsidRPr="00993152">
        <w:rPr>
          <w:b/>
        </w:rPr>
        <w:t>nichtlaufenden Fällen</w:t>
      </w:r>
      <w:r w:rsidRPr="00993152">
        <w:t xml:space="preserve"> kann auch kein Darlehen gewährt werden, weil § 22 Abs. 8 SGB II laufende Leistungen für Unterkunft und Heizung voraussetzt. </w:t>
      </w:r>
    </w:p>
    <w:p w:rsidR="00847226" w:rsidRPr="00993152" w:rsidRDefault="00847226" w:rsidP="003339FC">
      <w:pPr>
        <w:jc w:val="both"/>
      </w:pPr>
    </w:p>
    <w:p w:rsidR="00F40DE5" w:rsidRPr="00993152" w:rsidRDefault="00F40DE5" w:rsidP="003339FC">
      <w:pPr>
        <w:jc w:val="both"/>
      </w:pPr>
      <w:r w:rsidRPr="00993152">
        <w:t xml:space="preserve">Bei Personen, die nur wegen des Heizungsbedarfs leistungsberechtigt werden, kann nach der Rechtsprechung eine </w:t>
      </w:r>
      <w:r w:rsidRPr="00993152">
        <w:rPr>
          <w:b/>
        </w:rPr>
        <w:t>Ansparzeit von bis zu zwölf Monaten</w:t>
      </w:r>
      <w:r w:rsidRPr="00993152">
        <w:t xml:space="preserve"> aus übersteigendem Einkommen berücksichtigt werden (vgl. LSG Baden Württemberg 24.04.2009 – L 12 AS 4195/08- und Nr. 35.04 Abs. 5 SHR).</w:t>
      </w:r>
    </w:p>
    <w:p w:rsidR="00F40DE5" w:rsidRPr="00993152" w:rsidRDefault="00F40DE5" w:rsidP="003339FC">
      <w:pPr>
        <w:jc w:val="both"/>
      </w:pPr>
    </w:p>
    <w:p w:rsidR="00F40DE5" w:rsidRPr="00993152" w:rsidRDefault="00F40DE5" w:rsidP="003339FC">
      <w:pPr>
        <w:jc w:val="both"/>
      </w:pPr>
      <w:r w:rsidRPr="00993152">
        <w:t xml:space="preserve">Zu diesem Themenbereich finden die </w:t>
      </w:r>
      <w:r w:rsidRPr="00993152">
        <w:rPr>
          <w:i/>
          <w:sz w:val="20"/>
          <w:szCs w:val="20"/>
        </w:rPr>
        <w:t>TB § 22 SGB II -29 bis 32 und -200, 201, 205, 206 mit 250</w:t>
      </w:r>
      <w:r w:rsidRPr="00993152">
        <w:t xml:space="preserve"> Anwendung. </w:t>
      </w:r>
    </w:p>
    <w:p w:rsidR="00847226" w:rsidRPr="00993152" w:rsidRDefault="00847226" w:rsidP="003339FC">
      <w:pPr>
        <w:jc w:val="both"/>
      </w:pPr>
    </w:p>
    <w:p w:rsidR="00847226" w:rsidRPr="00993152" w:rsidRDefault="00847226" w:rsidP="00847226">
      <w:pPr>
        <w:jc w:val="both"/>
      </w:pPr>
      <w:r w:rsidRPr="00993152">
        <w:rPr>
          <w:u w:val="single"/>
        </w:rPr>
        <w:t>Achtung:</w:t>
      </w:r>
      <w:r w:rsidRPr="00993152">
        <w:t xml:space="preserve"> Keines gesonderten Antrages bedarf es demgegenüber bei Neben- und Heizkostennachzahlungen, die sich bei monatlich gleichbleibenden Abschlagszahlungen ergeben (BSG 22.03.2010 – B 14 AS 6/09 R -). </w:t>
      </w:r>
    </w:p>
    <w:p w:rsidR="00847226" w:rsidRPr="00993152" w:rsidRDefault="00847226" w:rsidP="00847226">
      <w:pPr>
        <w:jc w:val="both"/>
      </w:pPr>
      <w:r w:rsidRPr="00993152">
        <w:t>Bis zu den ermittelten Richtwerten sind die Heizkosten als angemessen zu betrachten.</w:t>
      </w:r>
    </w:p>
    <w:p w:rsidR="00847226" w:rsidRPr="00993152" w:rsidRDefault="00847226" w:rsidP="00847226">
      <w:pPr>
        <w:jc w:val="both"/>
      </w:pPr>
      <w:r w:rsidRPr="00993152">
        <w:t>Soweit vom LB bei höheren Kosten nicht dargelegt werden kann, warum diese gleichwohl angemessen sind, können diese unangemessenen Kosten nur einmal übernommen werden. Hier ist dem LB eine Kostensenkungsaufforderung zu senden. Bei wiederholter Antragstellung werden dann nur noch die angemessenen Kosten gewährt.</w:t>
      </w:r>
    </w:p>
    <w:p w:rsidR="00847226" w:rsidRPr="00993152" w:rsidRDefault="00847226" w:rsidP="003339FC">
      <w:pPr>
        <w:jc w:val="both"/>
      </w:pPr>
    </w:p>
    <w:p w:rsidR="00F40DE5" w:rsidRDefault="00F40DE5" w:rsidP="003339FC">
      <w:pPr>
        <w:jc w:val="both"/>
      </w:pPr>
    </w:p>
    <w:p w:rsidR="001D2AF9" w:rsidRDefault="001D2AF9" w:rsidP="003339FC">
      <w:pPr>
        <w:jc w:val="both"/>
      </w:pPr>
    </w:p>
    <w:p w:rsidR="001D2AF9" w:rsidRDefault="005619CA" w:rsidP="005619CA">
      <w:pPr>
        <w:pStyle w:val="Listenabsatz"/>
        <w:numPr>
          <w:ilvl w:val="2"/>
          <w:numId w:val="19"/>
        </w:numPr>
        <w:ind w:left="0" w:firstLine="0"/>
        <w:jc w:val="both"/>
        <w:rPr>
          <w:b/>
          <w:color w:val="00B050"/>
          <w:sz w:val="24"/>
          <w:szCs w:val="24"/>
        </w:rPr>
      </w:pPr>
      <w:r w:rsidRPr="005619CA">
        <w:rPr>
          <w:b/>
          <w:color w:val="00B050"/>
          <w:sz w:val="24"/>
          <w:szCs w:val="24"/>
        </w:rPr>
        <w:t>Verhältnis zu Wohngeld und Kinderzuschlag</w:t>
      </w:r>
    </w:p>
    <w:p w:rsidR="005619CA" w:rsidRPr="005619CA" w:rsidRDefault="005619CA" w:rsidP="005619CA">
      <w:pPr>
        <w:jc w:val="both"/>
        <w:rPr>
          <w:b/>
          <w:color w:val="00B050"/>
          <w:sz w:val="24"/>
          <w:szCs w:val="24"/>
        </w:rPr>
      </w:pPr>
    </w:p>
    <w:p w:rsidR="005619CA" w:rsidRPr="005619CA" w:rsidRDefault="005619CA" w:rsidP="005619CA">
      <w:pPr>
        <w:jc w:val="both"/>
        <w:rPr>
          <w:color w:val="00B050"/>
        </w:rPr>
      </w:pPr>
      <w:r w:rsidRPr="005619CA">
        <w:rPr>
          <w:color w:val="00B050"/>
        </w:rPr>
        <w:t xml:space="preserve">Der Bezug </w:t>
      </w:r>
      <w:r w:rsidRPr="005619CA">
        <w:rPr>
          <w:color w:val="00B050"/>
          <w:u w:val="single"/>
        </w:rPr>
        <w:t>einmaliger Hilfe</w:t>
      </w:r>
      <w:r w:rsidRPr="005619CA">
        <w:rPr>
          <w:color w:val="00B050"/>
        </w:rPr>
        <w:t xml:space="preserve"> zu den Heizkosten hindert nicht an den Bezug der beiden Leistungen Wohngeld (WOG) und Kinderzuschlag (KiZ). </w:t>
      </w:r>
    </w:p>
    <w:p w:rsidR="005619CA" w:rsidRPr="005619CA" w:rsidRDefault="005619CA" w:rsidP="005619CA">
      <w:pPr>
        <w:jc w:val="both"/>
        <w:rPr>
          <w:color w:val="00B050"/>
        </w:rPr>
      </w:pPr>
      <w:r w:rsidRPr="005619CA">
        <w:rPr>
          <w:color w:val="00B050"/>
        </w:rPr>
        <w:t>Dem Bedarf im Monat der Beschaffung des Heizmaterials (RB, MB, KdU einschl. Bedarf einm</w:t>
      </w:r>
      <w:r>
        <w:rPr>
          <w:color w:val="00B050"/>
        </w:rPr>
        <w:t>aligen</w:t>
      </w:r>
      <w:r w:rsidRPr="005619CA">
        <w:rPr>
          <w:color w:val="00B050"/>
        </w:rPr>
        <w:t xml:space="preserve"> Heizkosten) sind die zur Verfügung stehenden Einkünfte einschl. WOG und KiZ gegenüberzustellen. </w:t>
      </w:r>
    </w:p>
    <w:p w:rsidR="005619CA" w:rsidRPr="005619CA" w:rsidRDefault="005619CA" w:rsidP="005619CA">
      <w:pPr>
        <w:jc w:val="both"/>
        <w:rPr>
          <w:color w:val="00B050"/>
        </w:rPr>
      </w:pPr>
      <w:r w:rsidRPr="005619CA">
        <w:rPr>
          <w:color w:val="00B050"/>
        </w:rPr>
        <w:t xml:space="preserve">Siehe hierzu auch StMAS Bayern, Schreiben vom </w:t>
      </w:r>
      <w:r w:rsidR="0012351F">
        <w:rPr>
          <w:color w:val="00B050"/>
        </w:rPr>
        <w:t>25.07</w:t>
      </w:r>
      <w:r w:rsidRPr="005619CA">
        <w:rPr>
          <w:color w:val="00B050"/>
        </w:rPr>
        <w:t xml:space="preserve">.2016 Az: I 3/6074.04-1/314. </w:t>
      </w:r>
    </w:p>
    <w:p w:rsidR="005619CA" w:rsidRDefault="005619CA" w:rsidP="005619CA">
      <w:pPr>
        <w:jc w:val="both"/>
      </w:pPr>
      <w:r>
        <w:t xml:space="preserve">   </w:t>
      </w:r>
    </w:p>
    <w:p w:rsidR="001D2AF9" w:rsidRDefault="005619CA" w:rsidP="005619CA">
      <w:pPr>
        <w:ind w:left="426"/>
        <w:jc w:val="both"/>
      </w:pPr>
      <w:r>
        <w:t xml:space="preserve">      </w:t>
      </w:r>
    </w:p>
    <w:p w:rsidR="001D2AF9" w:rsidRDefault="001D2AF9" w:rsidP="003339FC">
      <w:pPr>
        <w:jc w:val="both"/>
      </w:pPr>
    </w:p>
    <w:p w:rsidR="002100F4" w:rsidRPr="00993152" w:rsidRDefault="00BE6A1E" w:rsidP="00EE5E82">
      <w:pPr>
        <w:pStyle w:val="berschrift2"/>
        <w:numPr>
          <w:ilvl w:val="0"/>
          <w:numId w:val="0"/>
        </w:numPr>
        <w:rPr>
          <w:sz w:val="24"/>
          <w:szCs w:val="24"/>
        </w:rPr>
      </w:pPr>
      <w:r w:rsidRPr="00993152">
        <w:rPr>
          <w:sz w:val="24"/>
          <w:szCs w:val="24"/>
        </w:rPr>
        <w:lastRenderedPageBreak/>
        <w:t>1.</w:t>
      </w:r>
      <w:r w:rsidR="00882A97" w:rsidRPr="00993152">
        <w:rPr>
          <w:sz w:val="24"/>
          <w:szCs w:val="24"/>
        </w:rPr>
        <w:t>7</w:t>
      </w:r>
      <w:r w:rsidRPr="00993152">
        <w:rPr>
          <w:sz w:val="24"/>
          <w:szCs w:val="24"/>
        </w:rPr>
        <w:t xml:space="preserve"> </w:t>
      </w:r>
      <w:r w:rsidR="002100F4" w:rsidRPr="00993152">
        <w:rPr>
          <w:sz w:val="24"/>
          <w:szCs w:val="24"/>
        </w:rPr>
        <w:t>Nebenkostennachforderungen</w:t>
      </w:r>
    </w:p>
    <w:p w:rsidR="00BE6A1E" w:rsidRPr="00993152" w:rsidRDefault="00BE6A1E" w:rsidP="003339FC">
      <w:pPr>
        <w:jc w:val="both"/>
        <w:rPr>
          <w:b/>
          <w:sz w:val="24"/>
          <w:szCs w:val="24"/>
        </w:rPr>
      </w:pPr>
    </w:p>
    <w:p w:rsidR="006D5F81" w:rsidRPr="00993152" w:rsidRDefault="00D06A76" w:rsidP="003E69EC">
      <w:pPr>
        <w:pStyle w:val="berschrift3"/>
        <w:numPr>
          <w:ilvl w:val="0"/>
          <w:numId w:val="0"/>
        </w:numPr>
        <w:ind w:left="284"/>
      </w:pPr>
      <w:r w:rsidRPr="00993152">
        <w:rPr>
          <w:sz w:val="24"/>
          <w:szCs w:val="24"/>
        </w:rPr>
        <w:t>1.</w:t>
      </w:r>
      <w:r w:rsidR="00882A97" w:rsidRPr="00993152">
        <w:rPr>
          <w:sz w:val="24"/>
          <w:szCs w:val="24"/>
        </w:rPr>
        <w:t>7</w:t>
      </w:r>
      <w:r w:rsidRPr="00993152">
        <w:rPr>
          <w:sz w:val="24"/>
          <w:szCs w:val="24"/>
        </w:rPr>
        <w:t>.1</w:t>
      </w:r>
      <w:r w:rsidRPr="00993152">
        <w:t xml:space="preserve"> </w:t>
      </w:r>
      <w:r w:rsidRPr="00993152">
        <w:rPr>
          <w:sz w:val="24"/>
          <w:szCs w:val="24"/>
        </w:rPr>
        <w:t>Nebenkostennach</w:t>
      </w:r>
      <w:r w:rsidR="00B3241D" w:rsidRPr="00993152">
        <w:rPr>
          <w:sz w:val="24"/>
          <w:szCs w:val="24"/>
        </w:rPr>
        <w:t>forderungen</w:t>
      </w:r>
      <w:r w:rsidRPr="00993152">
        <w:rPr>
          <w:sz w:val="24"/>
          <w:szCs w:val="24"/>
        </w:rPr>
        <w:t xml:space="preserve"> bei laufenden Fällen</w:t>
      </w:r>
    </w:p>
    <w:p w:rsidR="00407CCD" w:rsidRPr="00993152" w:rsidRDefault="00FA1E30" w:rsidP="00E20A21">
      <w:pPr>
        <w:jc w:val="both"/>
      </w:pPr>
      <w:r w:rsidRPr="00993152">
        <w:t xml:space="preserve"> </w:t>
      </w:r>
    </w:p>
    <w:p w:rsidR="009519D6" w:rsidRPr="00993152" w:rsidRDefault="00FA1E30" w:rsidP="00E20A21">
      <w:pPr>
        <w:jc w:val="both"/>
      </w:pPr>
      <w:r w:rsidRPr="00993152">
        <w:t xml:space="preserve">In laufenden Fällen ist für Betriebs- und Heizkostennachforderungen  </w:t>
      </w:r>
      <w:r w:rsidRPr="00993152">
        <w:rPr>
          <w:b/>
        </w:rPr>
        <w:t>keine gesonderte Antragstellung</w:t>
      </w:r>
      <w:r w:rsidRPr="00993152">
        <w:t xml:space="preserve"> erforderlich.</w:t>
      </w:r>
      <w:r w:rsidR="00FC1471">
        <w:t xml:space="preserve"> </w:t>
      </w:r>
      <w:r w:rsidR="00FC1471" w:rsidRPr="00F23F1A">
        <w:t>Selbst wenn die Nebenkostennachforderung bereits bezahlt wurde, ist dies unschädlich.</w:t>
      </w:r>
      <w:r w:rsidRPr="00F23F1A">
        <w:t xml:space="preserve"> Der Antrag gilt mit dem Antrag auf </w:t>
      </w:r>
      <w:r w:rsidRPr="00993152">
        <w:t>laufende Leistungen als gestellt</w:t>
      </w:r>
      <w:r w:rsidR="000832C8" w:rsidRPr="00993152">
        <w:t>.</w:t>
      </w:r>
      <w:r w:rsidRPr="00993152">
        <w:t xml:space="preserve"> </w:t>
      </w:r>
      <w:r w:rsidR="008D7A06" w:rsidRPr="00993152">
        <w:t xml:space="preserve">Der LB muss jedoch die Abrechnung selbst einreichen oder diese zumindest anerkennen. Es reicht nicht aus, dass ein Vermieter die Abrechnung an das Jobcenter sendet. Der LB muss die Übernahme der Abrechnung durch das Jobcenter auch wollen. </w:t>
      </w:r>
    </w:p>
    <w:p w:rsidR="00462FB9" w:rsidRPr="00993152" w:rsidRDefault="00462FB9" w:rsidP="00E20A21">
      <w:pPr>
        <w:jc w:val="both"/>
      </w:pPr>
    </w:p>
    <w:p w:rsidR="008C30D4" w:rsidRPr="007A6096" w:rsidRDefault="008C30D4" w:rsidP="008C30D4">
      <w:pPr>
        <w:jc w:val="both"/>
        <w:rPr>
          <w:rFonts w:cs="Arial"/>
        </w:rPr>
      </w:pPr>
      <w:r w:rsidRPr="007A6096">
        <w:rPr>
          <w:rFonts w:cs="Arial"/>
          <w:u w:val="single"/>
        </w:rPr>
        <w:t>Besteht das Mietverhältnis</w:t>
      </w:r>
      <w:r w:rsidRPr="007A6096">
        <w:rPr>
          <w:rFonts w:cs="Arial"/>
        </w:rPr>
        <w:t xml:space="preserve"> noch, gehören auch Nebenkostennachforderungen, die vor Eintritt der Hilfebedürftigkeit tatsächlich entstanden sind, aber erst nach deren Eintritt fällig werden, zu den übernahmefähigen Aufwendungen (vgl. BSG, 24.11.2011 – B 14 AS 121/10 R-).</w:t>
      </w:r>
    </w:p>
    <w:p w:rsidR="00462FB9" w:rsidRPr="007A6096" w:rsidRDefault="008C30D4" w:rsidP="008C30D4">
      <w:pPr>
        <w:jc w:val="both"/>
        <w:rPr>
          <w:rFonts w:cs="Arial"/>
        </w:rPr>
      </w:pPr>
      <w:r w:rsidRPr="007A6096">
        <w:rPr>
          <w:rFonts w:cs="Arial"/>
        </w:rPr>
        <w:t xml:space="preserve"> </w:t>
      </w:r>
    </w:p>
    <w:p w:rsidR="008C30D4" w:rsidRPr="007A6096" w:rsidRDefault="008C30D4" w:rsidP="008C30D4">
      <w:pPr>
        <w:jc w:val="both"/>
        <w:rPr>
          <w:rFonts w:cs="Arial"/>
        </w:rPr>
      </w:pPr>
      <w:r w:rsidRPr="007A6096">
        <w:rPr>
          <w:rFonts w:cs="Arial"/>
        </w:rPr>
        <w:t xml:space="preserve">Ist das </w:t>
      </w:r>
      <w:r w:rsidRPr="007A6096">
        <w:rPr>
          <w:rFonts w:cs="Arial"/>
          <w:u w:val="single"/>
        </w:rPr>
        <w:t>Mietverhältnis</w:t>
      </w:r>
      <w:r w:rsidRPr="007A6096">
        <w:rPr>
          <w:rFonts w:cs="Arial"/>
        </w:rPr>
        <w:t xml:space="preserve"> zum Zeitpunkt der Fälligkeit  jedoch bereits </w:t>
      </w:r>
      <w:r w:rsidRPr="007A6096">
        <w:rPr>
          <w:rFonts w:cs="Arial"/>
          <w:u w:val="single"/>
        </w:rPr>
        <w:t>beendet</w:t>
      </w:r>
      <w:r w:rsidRPr="007A6096">
        <w:rPr>
          <w:rFonts w:cs="Arial"/>
        </w:rPr>
        <w:t xml:space="preserve"> kommt eine Übernahme grundsätzlich nicht mehr in Betracht.</w:t>
      </w:r>
    </w:p>
    <w:p w:rsidR="00462FB9" w:rsidRPr="007A6096" w:rsidRDefault="00462FB9" w:rsidP="008C30D4">
      <w:pPr>
        <w:autoSpaceDE w:val="0"/>
        <w:autoSpaceDN w:val="0"/>
        <w:adjustRightInd w:val="0"/>
        <w:jc w:val="both"/>
        <w:rPr>
          <w:rFonts w:eastAsia="Times New Roman" w:cs="Arial"/>
          <w:lang w:eastAsia="de-DE"/>
        </w:rPr>
      </w:pPr>
      <w:r w:rsidRPr="007A6096">
        <w:rPr>
          <w:rFonts w:eastAsia="Times New Roman" w:cs="Arial"/>
          <w:lang w:eastAsia="de-DE"/>
        </w:rPr>
        <w:t>Dies gilt auch im Verhältnis zu demselben Vermieter, weil Anknüpfungspunkt für das Rechtsverhältnis zwischen Mieter und Vermieter das jeweilige Mietverhältnis ist.</w:t>
      </w:r>
    </w:p>
    <w:p w:rsidR="008C30D4" w:rsidRPr="007A6096" w:rsidRDefault="00462FB9" w:rsidP="008C30D4">
      <w:pPr>
        <w:autoSpaceDE w:val="0"/>
        <w:autoSpaceDN w:val="0"/>
        <w:adjustRightInd w:val="0"/>
        <w:rPr>
          <w:rFonts w:eastAsia="Times New Roman" w:cs="Arial"/>
          <w:bCs/>
          <w:lang w:eastAsia="de-DE"/>
        </w:rPr>
      </w:pPr>
      <w:r w:rsidRPr="007A6096">
        <w:rPr>
          <w:rFonts w:eastAsia="Times New Roman" w:cs="Arial"/>
          <w:bCs/>
          <w:lang w:eastAsia="de-DE"/>
        </w:rPr>
        <w:t>(vgl.</w:t>
      </w:r>
      <w:r w:rsidR="008C30D4" w:rsidRPr="007A6096">
        <w:rPr>
          <w:rFonts w:eastAsia="Times New Roman" w:cs="Arial"/>
          <w:bCs/>
          <w:lang w:eastAsia="de-DE"/>
        </w:rPr>
        <w:t xml:space="preserve"> </w:t>
      </w:r>
      <w:r w:rsidRPr="007A6096">
        <w:rPr>
          <w:rFonts w:eastAsia="Times New Roman" w:cs="Arial"/>
          <w:bCs/>
          <w:lang w:eastAsia="de-DE"/>
        </w:rPr>
        <w:t>BSG,</w:t>
      </w:r>
      <w:r w:rsidR="008C30D4" w:rsidRPr="007A6096">
        <w:rPr>
          <w:rFonts w:eastAsia="Times New Roman" w:cs="Arial"/>
          <w:bCs/>
          <w:lang w:eastAsia="de-DE"/>
        </w:rPr>
        <w:t xml:space="preserve"> </w:t>
      </w:r>
      <w:r w:rsidRPr="007A6096">
        <w:rPr>
          <w:rFonts w:eastAsia="Times New Roman" w:cs="Arial"/>
          <w:bCs/>
          <w:lang w:eastAsia="de-DE"/>
        </w:rPr>
        <w:t>25.06.2015- 14 AS 40/14 R-).</w:t>
      </w:r>
    </w:p>
    <w:p w:rsidR="008C30D4" w:rsidRPr="007A6096" w:rsidRDefault="008C30D4" w:rsidP="008C30D4">
      <w:pPr>
        <w:autoSpaceDE w:val="0"/>
        <w:autoSpaceDN w:val="0"/>
        <w:adjustRightInd w:val="0"/>
        <w:rPr>
          <w:rFonts w:eastAsia="Times New Roman" w:cs="Arial"/>
          <w:bCs/>
          <w:lang w:eastAsia="de-DE"/>
        </w:rPr>
      </w:pPr>
    </w:p>
    <w:p w:rsidR="008C30D4" w:rsidRPr="007A6096" w:rsidRDefault="002A2DDC" w:rsidP="008C30D4">
      <w:pPr>
        <w:autoSpaceDE w:val="0"/>
        <w:autoSpaceDN w:val="0"/>
        <w:adjustRightInd w:val="0"/>
        <w:rPr>
          <w:rFonts w:eastAsia="Times New Roman" w:cs="Arial"/>
          <w:bCs/>
          <w:lang w:eastAsia="de-DE"/>
        </w:rPr>
      </w:pPr>
      <w:r w:rsidRPr="007A6096">
        <w:rPr>
          <w:rFonts w:eastAsia="Times New Roman" w:cs="Arial"/>
          <w:bCs/>
          <w:lang w:eastAsia="de-DE"/>
        </w:rPr>
        <w:t xml:space="preserve">Eine </w:t>
      </w:r>
      <w:r w:rsidRPr="007A6096">
        <w:rPr>
          <w:rFonts w:eastAsia="Times New Roman" w:cs="Arial"/>
          <w:b/>
          <w:bCs/>
          <w:lang w:eastAsia="de-DE"/>
        </w:rPr>
        <w:t>Ausnahme</w:t>
      </w:r>
      <w:r w:rsidRPr="007A6096">
        <w:rPr>
          <w:rFonts w:eastAsia="Times New Roman" w:cs="Arial"/>
          <w:bCs/>
          <w:lang w:eastAsia="de-DE"/>
        </w:rPr>
        <w:t xml:space="preserve"> von diesem Grundsatz gilt nur, wenn der LB </w:t>
      </w:r>
      <w:r w:rsidRPr="007A6096">
        <w:rPr>
          <w:rFonts w:eastAsia="Times New Roman" w:cs="Arial"/>
          <w:bCs/>
          <w:u w:val="single"/>
          <w:lang w:eastAsia="de-DE"/>
        </w:rPr>
        <w:t>sowohl</w:t>
      </w:r>
      <w:r w:rsidRPr="007A6096">
        <w:rPr>
          <w:rFonts w:eastAsia="Times New Roman" w:cs="Arial"/>
          <w:bCs/>
          <w:lang w:eastAsia="de-DE"/>
        </w:rPr>
        <w:t xml:space="preserve"> im Zeitpunkt der tatsächlichen </w:t>
      </w:r>
      <w:r w:rsidRPr="007A6096">
        <w:rPr>
          <w:rFonts w:eastAsia="Times New Roman" w:cs="Arial"/>
          <w:bCs/>
          <w:u w:val="single"/>
          <w:lang w:eastAsia="de-DE"/>
        </w:rPr>
        <w:t>Entstehung der Kosten im Leistungsbezug</w:t>
      </w:r>
      <w:r w:rsidRPr="007A6096">
        <w:rPr>
          <w:rFonts w:eastAsia="Times New Roman" w:cs="Arial"/>
          <w:bCs/>
          <w:lang w:eastAsia="de-DE"/>
        </w:rPr>
        <w:t xml:space="preserve"> stand als auch im Zeitpunkt der </w:t>
      </w:r>
      <w:r w:rsidRPr="007A6096">
        <w:rPr>
          <w:rFonts w:eastAsia="Times New Roman" w:cs="Arial"/>
          <w:bCs/>
          <w:u w:val="single"/>
          <w:lang w:eastAsia="de-DE"/>
        </w:rPr>
        <w:t>Fälligkeit der Nachforderung noch steht</w:t>
      </w:r>
      <w:r w:rsidRPr="007A6096">
        <w:rPr>
          <w:rFonts w:eastAsia="Times New Roman" w:cs="Arial"/>
          <w:bCs/>
          <w:lang w:eastAsia="de-DE"/>
        </w:rPr>
        <w:t xml:space="preserve"> sowie die Aufgabe der alten Wohnung aufgrund einer </w:t>
      </w:r>
      <w:r w:rsidRPr="007A6096">
        <w:rPr>
          <w:rFonts w:eastAsia="Times New Roman" w:cs="Arial"/>
          <w:bCs/>
          <w:u w:val="single"/>
          <w:lang w:eastAsia="de-DE"/>
        </w:rPr>
        <w:t>Kostensenkungsaufforderung</w:t>
      </w:r>
      <w:r w:rsidRPr="007A6096">
        <w:rPr>
          <w:rFonts w:eastAsia="Times New Roman" w:cs="Arial"/>
          <w:bCs/>
          <w:lang w:eastAsia="de-DE"/>
        </w:rPr>
        <w:t xml:space="preserve"> des JC erfolgt ist und </w:t>
      </w:r>
      <w:r w:rsidRPr="007A6096">
        <w:rPr>
          <w:rFonts w:eastAsia="Times New Roman" w:cs="Arial"/>
          <w:bCs/>
          <w:u w:val="single"/>
          <w:lang w:eastAsia="de-DE"/>
        </w:rPr>
        <w:t>keine anderweitige Bedarfsdeckung</w:t>
      </w:r>
      <w:r w:rsidRPr="007A6096">
        <w:rPr>
          <w:rFonts w:eastAsia="Times New Roman" w:cs="Arial"/>
          <w:bCs/>
          <w:lang w:eastAsia="de-DE"/>
        </w:rPr>
        <w:t xml:space="preserve"> eingetreten ist (vgl. BSG, 20.12.2011 – B 4 AS 9/11 R-).</w:t>
      </w:r>
    </w:p>
    <w:p w:rsidR="008C30D4" w:rsidRDefault="00462FB9" w:rsidP="008C30D4">
      <w:pPr>
        <w:jc w:val="both"/>
      </w:pPr>
      <w:r w:rsidRPr="00462FB9">
        <w:rPr>
          <w:rFonts w:eastAsia="Times New Roman" w:cs="Arial"/>
          <w:color w:val="000000"/>
          <w:lang w:eastAsia="de-DE"/>
        </w:rPr>
        <w:br/>
      </w:r>
      <w:r w:rsidR="008C30D4" w:rsidRPr="00993152">
        <w:t xml:space="preserve">Die in einer Summe fällig werdende Nebenkostennachforderung ist als </w:t>
      </w:r>
      <w:r w:rsidR="008C30D4" w:rsidRPr="00993152">
        <w:rPr>
          <w:b/>
        </w:rPr>
        <w:t>tatsächlicher, aktueller Bedarf im Zeitpunkt ihrer Fälligkeit</w:t>
      </w:r>
      <w:r w:rsidR="008C30D4" w:rsidRPr="00993152">
        <w:t xml:space="preserve"> zu berücksichtigen. Auch nach Ablauf des Fälligkeitsmonats sind diese nicht Mietschulden im Sinne von § 22 Abs. 8 SGB II (vgl. BSG 22.03.2010 – B 4 AS 62/09 R-).</w:t>
      </w:r>
    </w:p>
    <w:p w:rsidR="009519D6" w:rsidRPr="00993152" w:rsidRDefault="009519D6" w:rsidP="008C30D4">
      <w:pPr>
        <w:autoSpaceDE w:val="0"/>
        <w:autoSpaceDN w:val="0"/>
        <w:adjustRightInd w:val="0"/>
      </w:pPr>
    </w:p>
    <w:p w:rsidR="00FA1E30" w:rsidRDefault="00FA1E30" w:rsidP="00E20A21">
      <w:pPr>
        <w:jc w:val="both"/>
      </w:pPr>
      <w:r w:rsidRPr="00993152">
        <w:t>Das Jobcenter muss also den Bewilligungsbescheid, der den Monat der Fälligkeit der Nebenkostennachforderung umfasst, gem. § 48 Abs. 1 Satz 2 Nr. 1 SGB X zugunsten des Betroffenen</w:t>
      </w:r>
      <w:r w:rsidR="000832C8" w:rsidRPr="00993152">
        <w:t xml:space="preserve"> mit Wirkung vom Zeitpunkt der Änderung der Verhältnisse (Fälligkeitsmonat) abändern (</w:t>
      </w:r>
      <w:r w:rsidR="000832C8" w:rsidRPr="00993152">
        <w:rPr>
          <w:i/>
          <w:sz w:val="20"/>
          <w:szCs w:val="20"/>
        </w:rPr>
        <w:t>TB § 22 SGB II -110</w:t>
      </w:r>
      <w:r w:rsidR="000832C8" w:rsidRPr="00993152">
        <w:t>). Soweit sich eine Hilfe errechnet, ist diese dann in einer Summe zu zahlen.</w:t>
      </w:r>
    </w:p>
    <w:p w:rsidR="003A5269" w:rsidRPr="007A6096" w:rsidRDefault="003A5269" w:rsidP="003A5269">
      <w:pPr>
        <w:jc w:val="both"/>
      </w:pPr>
      <w:r w:rsidRPr="007A6096">
        <w:t>Die Aufwendungen sind nur  im Monat der Fälligkeit zu berücksichtigen, dabei ist es ohne Bedeutung, ob vom LB vor oder nach dem Fälligkeitszeitpunkt gezahlt wird. Die Erfüllung einer Forderung hat keine eigenständige bedarfsbedeutende Bedeutung gegenüber der Fälligkeit (vgl. LSG Thüringen, 29.01.2014 – L 4 AS 1680/12 -)</w:t>
      </w:r>
      <w:r w:rsidR="00CA0D36" w:rsidRPr="007A6096">
        <w:t>.</w:t>
      </w:r>
    </w:p>
    <w:p w:rsidR="000832C8" w:rsidRPr="00993152" w:rsidRDefault="000832C8" w:rsidP="00E20A21">
      <w:pPr>
        <w:jc w:val="both"/>
      </w:pPr>
    </w:p>
    <w:p w:rsidR="00F65FC5" w:rsidRPr="00993152" w:rsidRDefault="00F65FC5" w:rsidP="00F65FC5">
      <w:pPr>
        <w:jc w:val="both"/>
        <w:rPr>
          <w:rFonts w:cs="Arial"/>
        </w:rPr>
      </w:pPr>
      <w:r w:rsidRPr="00993152">
        <w:rPr>
          <w:rFonts w:cs="Arial"/>
        </w:rPr>
        <w:t xml:space="preserve">Wenn unter Berücksichtigung der Nebenkostennachzahlung (aufgeteilt auf 12 Monate) die KdU nicht mehr </w:t>
      </w:r>
      <w:r w:rsidRPr="00993152">
        <w:rPr>
          <w:rFonts w:cs="Arial"/>
          <w:b/>
        </w:rPr>
        <w:t>angemessen</w:t>
      </w:r>
      <w:r w:rsidRPr="00993152">
        <w:rPr>
          <w:rFonts w:cs="Arial"/>
        </w:rPr>
        <w:t xml:space="preserve"> sind, ist der </w:t>
      </w:r>
      <w:r w:rsidR="003C143B" w:rsidRPr="00993152">
        <w:rPr>
          <w:rFonts w:cs="Arial"/>
        </w:rPr>
        <w:t>Leistungsberechtigte</w:t>
      </w:r>
      <w:r w:rsidRPr="00993152">
        <w:rPr>
          <w:rFonts w:cs="Arial"/>
        </w:rPr>
        <w:t xml:space="preserve"> darauf hinzuweisen, dass in Zukunft Nachforderungen nur bis zur Angemessenheitsgrenze berücksichtigt werden. </w:t>
      </w:r>
    </w:p>
    <w:p w:rsidR="00F65FC5" w:rsidRPr="00993152" w:rsidRDefault="00F65FC5" w:rsidP="00F65FC5">
      <w:pPr>
        <w:jc w:val="both"/>
        <w:rPr>
          <w:rFonts w:cs="Arial"/>
        </w:rPr>
      </w:pPr>
    </w:p>
    <w:p w:rsidR="00F65FC5" w:rsidRPr="00993152" w:rsidRDefault="00F65FC5" w:rsidP="00F65FC5">
      <w:pPr>
        <w:jc w:val="both"/>
        <w:rPr>
          <w:rFonts w:cs="Arial"/>
          <w:i/>
        </w:rPr>
      </w:pPr>
      <w:r w:rsidRPr="00993152">
        <w:rPr>
          <w:rFonts w:cs="Arial"/>
        </w:rPr>
        <w:t xml:space="preserve">Hatte der Antragsteller bereits eine Kostensenkungsaufforderung erhalten, kann die Nebenkostennachzahlung </w:t>
      </w:r>
      <w:r w:rsidR="003C143B" w:rsidRPr="00993152">
        <w:rPr>
          <w:rFonts w:cs="Arial"/>
        </w:rPr>
        <w:t>(</w:t>
      </w:r>
      <w:r w:rsidRPr="00993152">
        <w:rPr>
          <w:rFonts w:cs="Arial"/>
          <w:i/>
          <w:sz w:val="20"/>
          <w:szCs w:val="20"/>
        </w:rPr>
        <w:t>T</w:t>
      </w:r>
      <w:r w:rsidR="003C143B" w:rsidRPr="00993152">
        <w:rPr>
          <w:rFonts w:cs="Arial"/>
          <w:i/>
          <w:sz w:val="20"/>
          <w:szCs w:val="20"/>
        </w:rPr>
        <w:t>B</w:t>
      </w:r>
      <w:r w:rsidRPr="00993152">
        <w:rPr>
          <w:rFonts w:cs="Arial"/>
          <w:i/>
          <w:sz w:val="20"/>
          <w:szCs w:val="20"/>
        </w:rPr>
        <w:t xml:space="preserve"> § 22 SGB II -120</w:t>
      </w:r>
      <w:r w:rsidR="003C143B" w:rsidRPr="00993152">
        <w:rPr>
          <w:rFonts w:cs="Arial"/>
          <w:i/>
        </w:rPr>
        <w:t>)</w:t>
      </w:r>
      <w:r w:rsidRPr="00993152">
        <w:rPr>
          <w:rFonts w:cs="Arial"/>
        </w:rPr>
        <w:t xml:space="preserve"> abgelehnt werden</w:t>
      </w:r>
      <w:r w:rsidR="003C143B" w:rsidRPr="00993152">
        <w:rPr>
          <w:rFonts w:cs="Arial"/>
        </w:rPr>
        <w:t>,</w:t>
      </w:r>
      <w:r w:rsidR="00EA7BF5" w:rsidRPr="00993152">
        <w:rPr>
          <w:rFonts w:cs="Arial"/>
        </w:rPr>
        <w:t xml:space="preserve"> soweit</w:t>
      </w:r>
      <w:r w:rsidR="003C143B" w:rsidRPr="00993152">
        <w:rPr>
          <w:rFonts w:cs="Arial"/>
        </w:rPr>
        <w:t xml:space="preserve"> </w:t>
      </w:r>
      <w:r w:rsidR="00EA7BF5" w:rsidRPr="00993152">
        <w:rPr>
          <w:rFonts w:cs="Arial"/>
        </w:rPr>
        <w:t>der Abrechnungszeitraum der Nebenkosten  Zeiten umfasst, die nach der Kostensenkungsfrist liegen</w:t>
      </w:r>
      <w:r w:rsidRPr="00993152">
        <w:rPr>
          <w:rFonts w:cs="Arial"/>
        </w:rPr>
        <w:t>.</w:t>
      </w:r>
      <w:r w:rsidRPr="00993152">
        <w:rPr>
          <w:rFonts w:cs="Arial"/>
          <w:i/>
        </w:rPr>
        <w:t xml:space="preserve"> </w:t>
      </w:r>
    </w:p>
    <w:p w:rsidR="000832C8" w:rsidRPr="00993152" w:rsidRDefault="000832C8" w:rsidP="00E20A21">
      <w:pPr>
        <w:jc w:val="both"/>
      </w:pPr>
    </w:p>
    <w:p w:rsidR="000832C8" w:rsidRPr="00993152" w:rsidRDefault="0034700C" w:rsidP="00B81DB0">
      <w:pPr>
        <w:jc w:val="both"/>
      </w:pPr>
      <w:r w:rsidRPr="00993152">
        <w:t>Sind</w:t>
      </w:r>
      <w:r w:rsidR="003C143B" w:rsidRPr="00993152">
        <w:t xml:space="preserve"> die KdU des L</w:t>
      </w:r>
      <w:r w:rsidR="00B81DB0" w:rsidRPr="00993152">
        <w:t>B</w:t>
      </w:r>
      <w:r w:rsidR="003C143B" w:rsidRPr="00993152">
        <w:t xml:space="preserve"> bereits seit Bezug der aktuellen Wohnung  auf die Angemessenheitsgrenze </w:t>
      </w:r>
      <w:r w:rsidRPr="00993152">
        <w:t>begrenzt</w:t>
      </w:r>
      <w:r w:rsidR="003C143B" w:rsidRPr="00993152">
        <w:t xml:space="preserve"> (z.B. Umzug wurde trotz fehlender Zusicherung zu den unangemessenen KdU durchgeführt), kommt </w:t>
      </w:r>
      <w:r w:rsidR="005F0F19" w:rsidRPr="00993152">
        <w:t>eine</w:t>
      </w:r>
      <w:r w:rsidR="003C143B" w:rsidRPr="00993152">
        <w:t xml:space="preserve"> Übernahme der Nebenkostennachforderung ebenfalls nicht in Betracht. </w:t>
      </w:r>
    </w:p>
    <w:p w:rsidR="0034700C" w:rsidRPr="00993152" w:rsidRDefault="0034700C" w:rsidP="00E20A21">
      <w:pPr>
        <w:jc w:val="both"/>
      </w:pPr>
    </w:p>
    <w:p w:rsidR="000832C8" w:rsidRPr="00993152" w:rsidRDefault="00EA7BF5" w:rsidP="00E20A21">
      <w:pPr>
        <w:jc w:val="both"/>
      </w:pPr>
      <w:r w:rsidRPr="00993152">
        <w:t xml:space="preserve">Sofern mit der Nebenkostennachforderung auch </w:t>
      </w:r>
      <w:r w:rsidRPr="00993152">
        <w:rPr>
          <w:b/>
        </w:rPr>
        <w:t>nicht bezahlte Vorauszahlungen</w:t>
      </w:r>
      <w:r w:rsidRPr="00993152">
        <w:t xml:space="preserve"> für mtl. Abschlagsbeträge gefordert werden, handelt es sich bei diesen Beträgen um </w:t>
      </w:r>
      <w:r w:rsidRPr="00993152">
        <w:rPr>
          <w:b/>
        </w:rPr>
        <w:t>„echte</w:t>
      </w:r>
      <w:r w:rsidRPr="00993152">
        <w:t xml:space="preserve"> </w:t>
      </w:r>
      <w:r w:rsidRPr="00993152">
        <w:rPr>
          <w:b/>
        </w:rPr>
        <w:t>Schulden“</w:t>
      </w:r>
      <w:r w:rsidRPr="00993152">
        <w:t xml:space="preserve"> die nicht im Rahmen von § 22 Abs. 1 SGB II übernommen werden können </w:t>
      </w:r>
      <w:r w:rsidRPr="00993152">
        <w:rPr>
          <w:i/>
          <w:sz w:val="20"/>
          <w:szCs w:val="20"/>
        </w:rPr>
        <w:t>(TB § 22 SGB II -121)</w:t>
      </w:r>
      <w:r w:rsidRPr="00993152">
        <w:t>. Evtl. können diese</w:t>
      </w:r>
      <w:r w:rsidR="0023311D" w:rsidRPr="00993152">
        <w:t xml:space="preserve"> bei laufendem Leistungsbezug</w:t>
      </w:r>
      <w:r w:rsidRPr="00993152">
        <w:t xml:space="preserve"> im Rahmen eines Darlehens nach</w:t>
      </w:r>
      <w:r w:rsidR="0023311D" w:rsidRPr="00993152">
        <w:t xml:space="preserve"> § 22 Abs. 8 SGB II übernommen werden.</w:t>
      </w:r>
      <w:r w:rsidRPr="00993152">
        <w:t xml:space="preserve"> </w:t>
      </w:r>
    </w:p>
    <w:p w:rsidR="0034700C" w:rsidRPr="00993152" w:rsidRDefault="0034700C" w:rsidP="00E20A21">
      <w:pPr>
        <w:jc w:val="both"/>
      </w:pPr>
    </w:p>
    <w:p w:rsidR="0034700C" w:rsidRPr="00993152" w:rsidRDefault="0034700C" w:rsidP="00E20A21">
      <w:pPr>
        <w:jc w:val="both"/>
      </w:pPr>
    </w:p>
    <w:p w:rsidR="0023311D" w:rsidRDefault="0023311D" w:rsidP="00E20A21">
      <w:pPr>
        <w:jc w:val="both"/>
      </w:pPr>
    </w:p>
    <w:p w:rsidR="00C810D5" w:rsidRPr="00993152" w:rsidRDefault="00C810D5" w:rsidP="00E20A21">
      <w:pPr>
        <w:jc w:val="both"/>
      </w:pPr>
    </w:p>
    <w:p w:rsidR="0023311D" w:rsidRPr="00993152" w:rsidRDefault="0023311D" w:rsidP="003E69EC">
      <w:pPr>
        <w:pStyle w:val="berschrift3"/>
        <w:numPr>
          <w:ilvl w:val="0"/>
          <w:numId w:val="0"/>
        </w:numPr>
        <w:ind w:left="142"/>
        <w:rPr>
          <w:sz w:val="24"/>
          <w:szCs w:val="24"/>
        </w:rPr>
      </w:pPr>
      <w:r w:rsidRPr="00993152">
        <w:rPr>
          <w:sz w:val="24"/>
          <w:szCs w:val="24"/>
        </w:rPr>
        <w:t>1.</w:t>
      </w:r>
      <w:r w:rsidR="00882A97" w:rsidRPr="00993152">
        <w:rPr>
          <w:sz w:val="24"/>
          <w:szCs w:val="24"/>
        </w:rPr>
        <w:t>7</w:t>
      </w:r>
      <w:r w:rsidRPr="00993152">
        <w:rPr>
          <w:sz w:val="24"/>
          <w:szCs w:val="24"/>
        </w:rPr>
        <w:t>.2 Nebenkostennachforderungen bei nichtlaufenden Fällen</w:t>
      </w:r>
    </w:p>
    <w:p w:rsidR="00EA7BF5" w:rsidRPr="00993152" w:rsidRDefault="00EA7BF5" w:rsidP="00E20A21">
      <w:pPr>
        <w:jc w:val="both"/>
      </w:pPr>
      <w:r w:rsidRPr="00993152">
        <w:t xml:space="preserve"> </w:t>
      </w:r>
    </w:p>
    <w:p w:rsidR="0072397B" w:rsidRPr="00993152" w:rsidRDefault="00FF098B" w:rsidP="0072397B">
      <w:pPr>
        <w:jc w:val="both"/>
      </w:pPr>
      <w:r w:rsidRPr="00993152">
        <w:rPr>
          <w:rFonts w:cs="Arial"/>
        </w:rPr>
        <w:t>Auch in nichtlaufenden Fällen (</w:t>
      </w:r>
      <w:r w:rsidRPr="00993152">
        <w:rPr>
          <w:rFonts w:cs="Arial"/>
          <w:b/>
        </w:rPr>
        <w:t>Antrag auf einmalige Beihilfe</w:t>
      </w:r>
      <w:r w:rsidRPr="00993152">
        <w:rPr>
          <w:rFonts w:cs="Arial"/>
        </w:rPr>
        <w:t xml:space="preserve"> zur Übernahme der Nebenkostennachzahlung) ist die  in einer Summe fällig werdende Nebenkostennachforderung als tatsächlicher, aktueller Bedarf im Zeitpunkt der Fälligkeit gem. § 22 Abs. 1 </w:t>
      </w:r>
      <w:r w:rsidR="005B2D35" w:rsidRPr="00993152">
        <w:rPr>
          <w:rFonts w:cs="Arial"/>
        </w:rPr>
        <w:t xml:space="preserve">SGB II </w:t>
      </w:r>
      <w:r w:rsidRPr="00993152">
        <w:rPr>
          <w:rFonts w:cs="Arial"/>
        </w:rPr>
        <w:t>zu berücksichtigen.</w:t>
      </w:r>
      <w:r w:rsidR="0072397B" w:rsidRPr="00993152">
        <w:rPr>
          <w:rFonts w:cs="Arial"/>
        </w:rPr>
        <w:t xml:space="preserve"> </w:t>
      </w:r>
    </w:p>
    <w:p w:rsidR="00FF098B" w:rsidRPr="007A6096" w:rsidRDefault="00FF098B" w:rsidP="003A5269">
      <w:pPr>
        <w:jc w:val="both"/>
        <w:rPr>
          <w:rFonts w:cs="Arial"/>
        </w:rPr>
      </w:pPr>
      <w:r w:rsidRPr="00993152">
        <w:rPr>
          <w:rFonts w:cs="Arial"/>
        </w:rPr>
        <w:t xml:space="preserve">Das bedeutet, dass im Fälligkeitsmonat die KdU um die Nebenkostennachforderung zu erhöhen ist und mit diesen erhöhten KdU dann festgestellt werden muss, ob Hilfebedürftigkeit vorliegt. </w:t>
      </w:r>
      <w:r w:rsidR="003A5269">
        <w:rPr>
          <w:rFonts w:cs="Arial"/>
        </w:rPr>
        <w:t xml:space="preserve"> </w:t>
      </w:r>
      <w:r w:rsidR="003A5269" w:rsidRPr="007A6096">
        <w:rPr>
          <w:rFonts w:cs="Arial"/>
        </w:rPr>
        <w:t>Die Aufwendungen sind nur  im Monat der Fälligkeit zu berücksichtigen, dabei ist es ohne Bedeutung, ob vom LB vor oder nach dem Fälligkeitszeitpunkt gezahlt wird. Die Erfüllung einer Forderung hat keine eigenständige bedarfsbedeutende Bedeutung gegenüber der Fälligkeit (vgl. LSG Thüringen, 29.01.2014 – L 4 AS 1680/12 -).</w:t>
      </w:r>
    </w:p>
    <w:p w:rsidR="0072397B" w:rsidRPr="00993152" w:rsidRDefault="0072397B" w:rsidP="0072397B">
      <w:pPr>
        <w:jc w:val="both"/>
      </w:pPr>
      <w:r w:rsidRPr="00993152">
        <w:t>Hierbei ist zu beachten, dass auch einmalige KdU Leistungen sind, die eine Versicherungspflicht in der Kranken und Pflegeversicherung begründen (s. WDB-Beitrag Nr.: 931028)</w:t>
      </w:r>
      <w:r w:rsidR="00D54AF3" w:rsidRPr="00993152">
        <w:t>.</w:t>
      </w:r>
    </w:p>
    <w:p w:rsidR="0072397B" w:rsidRPr="00993152" w:rsidRDefault="0072397B" w:rsidP="00FF098B">
      <w:pPr>
        <w:jc w:val="both"/>
        <w:rPr>
          <w:rFonts w:cs="Arial"/>
        </w:rPr>
      </w:pPr>
    </w:p>
    <w:p w:rsidR="00FF098B" w:rsidRPr="00993152" w:rsidRDefault="00FF098B" w:rsidP="00FF098B">
      <w:pPr>
        <w:jc w:val="both"/>
        <w:rPr>
          <w:rFonts w:cs="Arial"/>
        </w:rPr>
      </w:pPr>
    </w:p>
    <w:p w:rsidR="00FF098B" w:rsidRPr="00993152" w:rsidRDefault="00FF098B" w:rsidP="00FF098B">
      <w:pPr>
        <w:jc w:val="both"/>
        <w:rPr>
          <w:rFonts w:cs="Arial"/>
        </w:rPr>
      </w:pPr>
      <w:r w:rsidRPr="00993152">
        <w:rPr>
          <w:rFonts w:cs="Arial"/>
          <w:u w:val="single"/>
        </w:rPr>
        <w:t>Achtung:</w:t>
      </w:r>
      <w:r w:rsidRPr="00993152">
        <w:rPr>
          <w:rFonts w:cs="Arial"/>
        </w:rPr>
        <w:t xml:space="preserve"> Da bei L</w:t>
      </w:r>
      <w:r w:rsidR="00B81DB0" w:rsidRPr="00993152">
        <w:rPr>
          <w:rFonts w:cs="Arial"/>
        </w:rPr>
        <w:t>B</w:t>
      </w:r>
      <w:r w:rsidRPr="00993152">
        <w:rPr>
          <w:rFonts w:cs="Arial"/>
        </w:rPr>
        <w:t xml:space="preserve">, die nicht im laufenden Leistungsbezug stehen, kein bereits gestellter Antrag auf Leistungen zum Lebensunterhalt vorliegt, mit dem auch einmalige KdU eingeschlossen sind, ist hier eine </w:t>
      </w:r>
      <w:r w:rsidRPr="00993152">
        <w:rPr>
          <w:rFonts w:cs="Arial"/>
          <w:b/>
        </w:rPr>
        <w:t>gesonderte Antragstellung erforderlich</w:t>
      </w:r>
      <w:r w:rsidRPr="00993152">
        <w:rPr>
          <w:rFonts w:cs="Arial"/>
        </w:rPr>
        <w:t xml:space="preserve">. </w:t>
      </w:r>
    </w:p>
    <w:p w:rsidR="00FF098B" w:rsidRPr="00993152" w:rsidRDefault="00FF098B" w:rsidP="00FF098B">
      <w:pPr>
        <w:jc w:val="both"/>
        <w:rPr>
          <w:rFonts w:cs="Arial"/>
        </w:rPr>
      </w:pPr>
    </w:p>
    <w:p w:rsidR="00FF098B" w:rsidRPr="00993152" w:rsidRDefault="00FF098B" w:rsidP="00FF098B">
      <w:pPr>
        <w:jc w:val="both"/>
        <w:rPr>
          <w:rFonts w:cs="Arial"/>
        </w:rPr>
      </w:pPr>
      <w:r w:rsidRPr="00993152">
        <w:rPr>
          <w:rFonts w:cs="Arial"/>
        </w:rPr>
        <w:t>W</w:t>
      </w:r>
      <w:r w:rsidR="0034700C" w:rsidRPr="00993152">
        <w:rPr>
          <w:rFonts w:cs="Arial"/>
        </w:rPr>
        <w:t>ird der</w:t>
      </w:r>
      <w:r w:rsidRPr="00993152">
        <w:rPr>
          <w:rFonts w:cs="Arial"/>
        </w:rPr>
        <w:t xml:space="preserve"> </w:t>
      </w:r>
      <w:r w:rsidRPr="00993152">
        <w:rPr>
          <w:rFonts w:cs="Arial"/>
          <w:b/>
        </w:rPr>
        <w:t xml:space="preserve">Antrag </w:t>
      </w:r>
      <w:r w:rsidRPr="00993152">
        <w:rPr>
          <w:rFonts w:cs="Arial"/>
        </w:rPr>
        <w:t xml:space="preserve">erst </w:t>
      </w:r>
      <w:r w:rsidRPr="00993152">
        <w:rPr>
          <w:rFonts w:cs="Arial"/>
          <w:b/>
        </w:rPr>
        <w:t xml:space="preserve">nach </w:t>
      </w:r>
      <w:r w:rsidR="0034700C" w:rsidRPr="00993152">
        <w:rPr>
          <w:rFonts w:cs="Arial"/>
          <w:b/>
        </w:rPr>
        <w:t xml:space="preserve">dem </w:t>
      </w:r>
      <w:r w:rsidRPr="00993152">
        <w:rPr>
          <w:rFonts w:cs="Arial"/>
          <w:b/>
        </w:rPr>
        <w:t>Fälligkeitsmonat</w:t>
      </w:r>
      <w:r w:rsidRPr="00993152">
        <w:rPr>
          <w:rFonts w:cs="Arial"/>
        </w:rPr>
        <w:t xml:space="preserve"> der Nebenkostennachforderung gestellt</w:t>
      </w:r>
      <w:r w:rsidR="0034700C" w:rsidRPr="00993152">
        <w:rPr>
          <w:rFonts w:cs="Arial"/>
        </w:rPr>
        <w:t>,</w:t>
      </w:r>
      <w:r w:rsidRPr="00993152">
        <w:rPr>
          <w:rFonts w:cs="Arial"/>
        </w:rPr>
        <w:t xml:space="preserve"> </w:t>
      </w:r>
      <w:r w:rsidR="0034700C" w:rsidRPr="00993152">
        <w:rPr>
          <w:rFonts w:cs="Arial"/>
        </w:rPr>
        <w:t>dann</w:t>
      </w:r>
      <w:r w:rsidRPr="00993152">
        <w:rPr>
          <w:rFonts w:cs="Arial"/>
        </w:rPr>
        <w:t xml:space="preserve"> handelt es sich </w:t>
      </w:r>
      <w:r w:rsidRPr="00993152">
        <w:rPr>
          <w:rFonts w:cs="Arial"/>
          <w:b/>
        </w:rPr>
        <w:t xml:space="preserve">bei </w:t>
      </w:r>
      <w:r w:rsidRPr="00993152">
        <w:rPr>
          <w:rFonts w:cs="Arial"/>
        </w:rPr>
        <w:t xml:space="preserve">diesen </w:t>
      </w:r>
      <w:r w:rsidRPr="00993152">
        <w:rPr>
          <w:rFonts w:cs="Arial"/>
          <w:b/>
        </w:rPr>
        <w:t xml:space="preserve">einmaligen </w:t>
      </w:r>
      <w:r w:rsidR="00BA4762">
        <w:rPr>
          <w:rFonts w:cs="Arial"/>
          <w:b/>
        </w:rPr>
        <w:t>Bedarf</w:t>
      </w:r>
      <w:r w:rsidRPr="00993152">
        <w:rPr>
          <w:rFonts w:cs="Arial"/>
        </w:rPr>
        <w:t xml:space="preserve"> um </w:t>
      </w:r>
      <w:r w:rsidRPr="00993152">
        <w:rPr>
          <w:rFonts w:cs="Arial"/>
          <w:b/>
        </w:rPr>
        <w:t>Schulden</w:t>
      </w:r>
      <w:r w:rsidRPr="00993152">
        <w:rPr>
          <w:rFonts w:cs="Arial"/>
        </w:rPr>
        <w:t xml:space="preserve">. Das bedeutet, dass </w:t>
      </w:r>
      <w:r w:rsidR="00924110" w:rsidRPr="00993152">
        <w:rPr>
          <w:rFonts w:cs="Arial"/>
        </w:rPr>
        <w:t xml:space="preserve">auch </w:t>
      </w:r>
      <w:r w:rsidRPr="00993152">
        <w:rPr>
          <w:rFonts w:cs="Arial"/>
        </w:rPr>
        <w:t xml:space="preserve">kein Anspruch </w:t>
      </w:r>
      <w:r w:rsidR="00924110" w:rsidRPr="00993152">
        <w:rPr>
          <w:rFonts w:cs="Arial"/>
        </w:rPr>
        <w:t xml:space="preserve">auf ein Darlehen </w:t>
      </w:r>
      <w:r w:rsidRPr="00993152">
        <w:rPr>
          <w:rFonts w:cs="Arial"/>
        </w:rPr>
        <w:t xml:space="preserve">besteht, weil § 22 Abs. 8 SGB II  laufende Leistungen für Unterkunft und Heizung voraussetzt. Die Ablehnung ist nun mit </w:t>
      </w:r>
      <w:r w:rsidRPr="00993152">
        <w:rPr>
          <w:rFonts w:cs="Arial"/>
          <w:i/>
        </w:rPr>
        <w:t>TB § 22 SGB II – 122</w:t>
      </w:r>
      <w:r w:rsidRPr="00993152">
        <w:rPr>
          <w:rFonts w:cs="Arial"/>
        </w:rPr>
        <w:t xml:space="preserve"> möglich.</w:t>
      </w:r>
    </w:p>
    <w:p w:rsidR="00FF098B" w:rsidRPr="00993152" w:rsidRDefault="00FF098B" w:rsidP="00FF098B">
      <w:pPr>
        <w:jc w:val="both"/>
        <w:rPr>
          <w:rFonts w:cs="Arial"/>
        </w:rPr>
      </w:pPr>
      <w:r w:rsidRPr="00993152">
        <w:rPr>
          <w:rFonts w:cs="Arial"/>
        </w:rPr>
        <w:t>Dieses Verfahren erfolgt in Anlehnung an das BSG Urteil vom 22.03.2010 –B 4 AS 62/09 R.</w:t>
      </w:r>
    </w:p>
    <w:p w:rsidR="00FF098B" w:rsidRPr="00993152" w:rsidRDefault="00FF098B" w:rsidP="00FF098B">
      <w:pPr>
        <w:jc w:val="both"/>
        <w:rPr>
          <w:rFonts w:cs="Arial"/>
        </w:rPr>
      </w:pPr>
    </w:p>
    <w:p w:rsidR="00FF098B" w:rsidRPr="00993152" w:rsidRDefault="00FF098B" w:rsidP="00FF098B">
      <w:pPr>
        <w:jc w:val="both"/>
        <w:rPr>
          <w:rFonts w:cs="Arial"/>
        </w:rPr>
      </w:pPr>
      <w:r w:rsidRPr="00993152">
        <w:rPr>
          <w:rFonts w:cs="Arial"/>
        </w:rPr>
        <w:t xml:space="preserve">Sofern der Antragsteller bereits eine </w:t>
      </w:r>
      <w:r w:rsidRPr="00993152">
        <w:rPr>
          <w:rFonts w:cs="Arial"/>
          <w:b/>
        </w:rPr>
        <w:t>unangemessene Unterkunft</w:t>
      </w:r>
      <w:r w:rsidRPr="00993152">
        <w:rPr>
          <w:rFonts w:cs="Arial"/>
        </w:rPr>
        <w:t xml:space="preserve"> bewohnt ist er darauf hinzuweisen (</w:t>
      </w:r>
      <w:r w:rsidRPr="00993152">
        <w:rPr>
          <w:rFonts w:cs="Arial"/>
          <w:i/>
          <w:sz w:val="20"/>
          <w:szCs w:val="20"/>
        </w:rPr>
        <w:t>TB § 22 SGB II – 10, 11 und 12</w:t>
      </w:r>
      <w:r w:rsidRPr="00993152">
        <w:rPr>
          <w:rFonts w:cs="Arial"/>
        </w:rPr>
        <w:t>)</w:t>
      </w:r>
      <w:r w:rsidR="0034700C" w:rsidRPr="00993152">
        <w:rPr>
          <w:rFonts w:cs="Arial"/>
        </w:rPr>
        <w:t>,</w:t>
      </w:r>
      <w:r w:rsidRPr="00993152">
        <w:rPr>
          <w:rFonts w:cs="Arial"/>
        </w:rPr>
        <w:t xml:space="preserve"> dass in Zukunft die Nebenkostennachzahlungen nicht mehr übernommen werden. Des Weiteren gilt auch hier das unter Punkt 1.7.1 zur Angemessenheit </w:t>
      </w:r>
      <w:r w:rsidR="0034700C" w:rsidRPr="00993152">
        <w:rPr>
          <w:rFonts w:cs="Arial"/>
        </w:rPr>
        <w:t>Beschriebene</w:t>
      </w:r>
      <w:r w:rsidRPr="00993152">
        <w:rPr>
          <w:rFonts w:cs="Arial"/>
        </w:rPr>
        <w:t>.</w:t>
      </w:r>
    </w:p>
    <w:p w:rsidR="00FF098B" w:rsidRPr="00993152" w:rsidRDefault="00FF098B" w:rsidP="00FF098B">
      <w:pPr>
        <w:jc w:val="both"/>
        <w:rPr>
          <w:rFonts w:cs="Arial"/>
        </w:rPr>
      </w:pPr>
    </w:p>
    <w:p w:rsidR="00FA1E30" w:rsidRPr="00993152" w:rsidRDefault="00FA1E30" w:rsidP="00E20A21">
      <w:pPr>
        <w:jc w:val="both"/>
      </w:pPr>
    </w:p>
    <w:p w:rsidR="002100F4" w:rsidRPr="00456981" w:rsidRDefault="00DE73E0" w:rsidP="00EE5E82">
      <w:pPr>
        <w:pStyle w:val="berschrift2"/>
        <w:numPr>
          <w:ilvl w:val="0"/>
          <w:numId w:val="0"/>
        </w:numPr>
        <w:ind w:left="567" w:hanging="567"/>
        <w:rPr>
          <w:color w:val="00B050"/>
          <w:sz w:val="24"/>
          <w:szCs w:val="24"/>
        </w:rPr>
      </w:pPr>
      <w:r w:rsidRPr="00456981">
        <w:rPr>
          <w:color w:val="00B050"/>
          <w:sz w:val="24"/>
          <w:szCs w:val="24"/>
        </w:rPr>
        <w:lastRenderedPageBreak/>
        <w:t>1.</w:t>
      </w:r>
      <w:r w:rsidR="00882A97" w:rsidRPr="00456981">
        <w:rPr>
          <w:color w:val="00B050"/>
          <w:sz w:val="24"/>
          <w:szCs w:val="24"/>
        </w:rPr>
        <w:t>8</w:t>
      </w:r>
      <w:r w:rsidR="00662153" w:rsidRPr="00456981">
        <w:rPr>
          <w:color w:val="00B050"/>
          <w:sz w:val="24"/>
          <w:szCs w:val="24"/>
        </w:rPr>
        <w:t xml:space="preserve">  </w:t>
      </w:r>
      <w:r w:rsidR="002100F4" w:rsidRPr="00456981">
        <w:rPr>
          <w:color w:val="00B050"/>
          <w:sz w:val="24"/>
          <w:szCs w:val="24"/>
        </w:rPr>
        <w:t xml:space="preserve"> Keine Aufforderung zum Wohnungswechsel bei Unwirtschaftlichkeit </w:t>
      </w:r>
      <w:r w:rsidR="00EE5E82" w:rsidRPr="00456981">
        <w:rPr>
          <w:color w:val="00B050"/>
          <w:sz w:val="24"/>
          <w:szCs w:val="24"/>
        </w:rPr>
        <w:t xml:space="preserve">                </w:t>
      </w:r>
      <w:r w:rsidR="002100F4" w:rsidRPr="00456981">
        <w:rPr>
          <w:color w:val="00B050"/>
          <w:sz w:val="24"/>
          <w:szCs w:val="24"/>
        </w:rPr>
        <w:t>( § 22  Abs. 1 Satz 4 SGB II)</w:t>
      </w:r>
    </w:p>
    <w:p w:rsidR="001A5C3F" w:rsidRPr="00993152" w:rsidRDefault="001A5C3F" w:rsidP="00662153">
      <w:pPr>
        <w:ind w:left="426"/>
        <w:jc w:val="both"/>
        <w:rPr>
          <w:b/>
          <w:sz w:val="24"/>
          <w:szCs w:val="24"/>
        </w:rPr>
      </w:pPr>
    </w:p>
    <w:p w:rsidR="002E5701" w:rsidRPr="00993152" w:rsidRDefault="00662153" w:rsidP="009636CD">
      <w:pPr>
        <w:jc w:val="both"/>
      </w:pPr>
      <w:r w:rsidRPr="00993152">
        <w:t>Sofern ein Wohnungswechsel in Anbetracht der zu erbringenden Leistungen für Umzugskosten, Mietkaution usw. unwirtschaftlich wäre, kann auf die Kostensenkungsaufforderung verzichtet werden.</w:t>
      </w:r>
    </w:p>
    <w:p w:rsidR="00924110" w:rsidRPr="00993152" w:rsidRDefault="00924110" w:rsidP="009636CD">
      <w:pPr>
        <w:jc w:val="both"/>
      </w:pPr>
    </w:p>
    <w:p w:rsidR="00662153" w:rsidRPr="00993152" w:rsidRDefault="00662153" w:rsidP="009636CD">
      <w:pPr>
        <w:jc w:val="both"/>
      </w:pPr>
      <w:r w:rsidRPr="00993152">
        <w:t>Ob ein Wohnungswechsel unwirtschaftlich ist, ist anhand einer Prognose zu ermitteln.</w:t>
      </w:r>
    </w:p>
    <w:p w:rsidR="00662153" w:rsidRPr="00993152" w:rsidRDefault="00662153" w:rsidP="009636CD">
      <w:pPr>
        <w:jc w:val="both"/>
      </w:pPr>
      <w:r w:rsidRPr="00993152">
        <w:t xml:space="preserve">Relevant sind hierbei die Dauer des Leistungsbezuges, die Höhe der Umzugskosten und die Höhe der tatsächlichen KdU die die Angemessenheitsgrenze übersteigen.  </w:t>
      </w:r>
    </w:p>
    <w:p w:rsidR="00F52690" w:rsidRPr="00993152" w:rsidRDefault="00F52690" w:rsidP="009636CD">
      <w:pPr>
        <w:jc w:val="both"/>
      </w:pPr>
      <w:r w:rsidRPr="00993152">
        <w:t>Bei nur geringfügigem Überschreiten der Richtwerte ist wohl immer von einer Unwirtschaftlichkeit auszugehen.</w:t>
      </w:r>
    </w:p>
    <w:p w:rsidR="00924110" w:rsidRPr="00993152" w:rsidRDefault="00924110" w:rsidP="009636CD">
      <w:pPr>
        <w:jc w:val="both"/>
      </w:pPr>
    </w:p>
    <w:p w:rsidR="00F52690" w:rsidRDefault="00F52690" w:rsidP="009636CD">
      <w:pPr>
        <w:jc w:val="both"/>
      </w:pPr>
      <w:r w:rsidRPr="00993152">
        <w:t>Auch wenn die derzeitigen KdU nur in Bezug auf eine Kostenart, z.B. Heizkosten unangemessen hoch sind, insgesamt aber angemessen, weil z.B. die Bruttokaltmiete sehr günstig ist, wäre ein Wohnungswechsel unwirtschaftlich.</w:t>
      </w:r>
    </w:p>
    <w:p w:rsidR="00061170" w:rsidRPr="00061170" w:rsidRDefault="00061170" w:rsidP="009636CD">
      <w:pPr>
        <w:jc w:val="both"/>
        <w:rPr>
          <w:color w:val="00B050"/>
        </w:rPr>
      </w:pPr>
      <w:r>
        <w:rPr>
          <w:color w:val="00B050"/>
        </w:rPr>
        <w:t xml:space="preserve">Ein Wohnungswechsel, der zwar zu niedrigeren Heizkosten, nicht aber zu niedrigeren Gesamtkosten führt, wäre unwirtschaftlich und deshalb nicht zumutbar (vgl. BSG 12.06.2013 –B 14 AS 60/12 R). </w:t>
      </w:r>
    </w:p>
    <w:p w:rsidR="00924110" w:rsidRPr="00993152" w:rsidRDefault="00924110" w:rsidP="009636CD">
      <w:pPr>
        <w:jc w:val="both"/>
      </w:pPr>
    </w:p>
    <w:p w:rsidR="001A5C3F" w:rsidRPr="00993152" w:rsidRDefault="001A5C3F" w:rsidP="009636CD">
      <w:pPr>
        <w:jc w:val="both"/>
      </w:pPr>
      <w:r w:rsidRPr="00993152">
        <w:t>Wenn keine Kostensenkungsaufforderung erfolgt, weil Unwirtschaftlichkeit festgestellt wurde, sind auch nach Ablauf von sechs Monaten die tatsächlichen KdU zu übernehmen.</w:t>
      </w:r>
    </w:p>
    <w:p w:rsidR="00F52690" w:rsidRPr="00993152" w:rsidRDefault="00F52690" w:rsidP="00E20A21">
      <w:pPr>
        <w:jc w:val="both"/>
      </w:pPr>
    </w:p>
    <w:p w:rsidR="00924110" w:rsidRPr="00993152" w:rsidRDefault="00924110" w:rsidP="00E20A21">
      <w:pPr>
        <w:jc w:val="both"/>
      </w:pPr>
    </w:p>
    <w:p w:rsidR="002100F4" w:rsidRPr="00456981" w:rsidRDefault="005723AD" w:rsidP="00E5033E">
      <w:pPr>
        <w:pStyle w:val="berschrift1"/>
        <w:numPr>
          <w:ilvl w:val="0"/>
          <w:numId w:val="16"/>
        </w:numPr>
        <w:ind w:left="567" w:hanging="567"/>
        <w:rPr>
          <w:color w:val="00B050"/>
          <w:sz w:val="24"/>
          <w:szCs w:val="24"/>
        </w:rPr>
      </w:pPr>
      <w:r w:rsidRPr="00456981">
        <w:rPr>
          <w:color w:val="00B050"/>
          <w:sz w:val="24"/>
          <w:szCs w:val="24"/>
        </w:rPr>
        <w:t>Allgemeines zu § 22 Abs. 2 SGB II</w:t>
      </w:r>
    </w:p>
    <w:p w:rsidR="006F7102" w:rsidRPr="00993152" w:rsidRDefault="006F7102" w:rsidP="0036466E">
      <w:pPr>
        <w:jc w:val="both"/>
      </w:pPr>
      <w:r w:rsidRPr="00993152">
        <w:t>Leistungen für Instandhaltung und Reparatur müssen nicht besonders beantragt werden, sondern sind mit dem Hauptantrag auf KdU erfasst, da es sich lediglich um eine Konkretisierung des KdU-Bedarfs handelt. Mit der Vorlage der entsprechenden Rechnung wird der Bedarf nur weiter konkretisiert.</w:t>
      </w:r>
    </w:p>
    <w:p w:rsidR="005B03C9" w:rsidRPr="00993152" w:rsidRDefault="005B03C9" w:rsidP="0036466E">
      <w:pPr>
        <w:jc w:val="both"/>
      </w:pPr>
      <w:r w:rsidRPr="00993152">
        <w:t xml:space="preserve">In Anlehnung an die Rechtsauffassung des StMAS (Schreiben vom 22.05.2012, Az. I 3/6074.04) sind auf </w:t>
      </w:r>
      <w:r w:rsidRPr="00993152">
        <w:rPr>
          <w:u w:val="single"/>
        </w:rPr>
        <w:t>gesonderten Antrag auch für nichtlaufende Fälle</w:t>
      </w:r>
      <w:r w:rsidRPr="00993152">
        <w:t xml:space="preserve">  Leistungen für Instandhaltung und Reparatur möglich, soweit diese als Teil der angemessenen KdU anzusehen sind. Daher können einmalige Hilfen für diesen Bedarf nur in Frage kommen, wenn hierfür Zuschüsse (siehe Nr. 2.2) möglich sind; nicht aber für Darlehen (siehe Nr. 2.3) weil</w:t>
      </w:r>
      <w:r w:rsidR="003929BB" w:rsidRPr="00993152">
        <w:t xml:space="preserve"> ansonsten</w:t>
      </w:r>
      <w:r w:rsidRPr="00993152">
        <w:t xml:space="preserve"> insoweit die angemessenen KdU überschritten würden.</w:t>
      </w:r>
    </w:p>
    <w:p w:rsidR="0036466E" w:rsidRPr="00993152" w:rsidRDefault="0036466E" w:rsidP="0036466E">
      <w:pPr>
        <w:jc w:val="both"/>
      </w:pPr>
      <w:r w:rsidRPr="00993152">
        <w:t xml:space="preserve">Leistungen für Instandhaltung und Reparatur können </w:t>
      </w:r>
      <w:r w:rsidRPr="00993152">
        <w:rPr>
          <w:b/>
        </w:rPr>
        <w:t>nur für ein selbstgenutztes, verwertungsgeschütztes Wohneigentum</w:t>
      </w:r>
      <w:r w:rsidRPr="00993152">
        <w:t xml:space="preserve"> gewährt werden und müssen geeignet und erforderlich sein, um das Eigentum zu Wohnzwecken zu erhalten. Als Bedarf anzuerkennen sind nur </w:t>
      </w:r>
      <w:r w:rsidRPr="00993152">
        <w:rPr>
          <w:b/>
        </w:rPr>
        <w:t>„unabweisbare“</w:t>
      </w:r>
      <w:r w:rsidRPr="00993152">
        <w:t xml:space="preserve"> Aufwendungen, welche die Nutzung und Bewohnbarkeit sicherstellen. Nach der Gesetzesbegründung sollen dies nur „zeitlich besonders dringliche Aufwendungen“ sein, die „absolut unerlässlich sind“ (BT-Dr. 17/340</w:t>
      </w:r>
      <w:r w:rsidR="00421A60" w:rsidRPr="00993152">
        <w:t>4</w:t>
      </w:r>
      <w:r w:rsidRPr="00993152">
        <w:t>,</w:t>
      </w:r>
      <w:r w:rsidR="00421A60" w:rsidRPr="00993152">
        <w:t>161</w:t>
      </w:r>
      <w:r w:rsidRPr="00993152">
        <w:t>). Demnach kommen hier Instandsetzungsmaßnahmen, die aktuell die Bewohnbarkeit sichern oder Schäden abwenden, die zur Unbewohnbarkeit oder einer Gefährdung der Bewohner führen würden</w:t>
      </w:r>
      <w:r w:rsidR="005B2D35" w:rsidRPr="00993152">
        <w:t>,</w:t>
      </w:r>
      <w:r w:rsidRPr="00993152">
        <w:t xml:space="preserve">  </w:t>
      </w:r>
      <w:r w:rsidR="00354B30" w:rsidRPr="00993152">
        <w:t xml:space="preserve">in Betracht </w:t>
      </w:r>
      <w:r w:rsidRPr="00993152">
        <w:t>(so auch Berlit in LPK-SGB II Rz</w:t>
      </w:r>
      <w:r w:rsidR="00D0105F" w:rsidRPr="00993152">
        <w:t>.</w:t>
      </w:r>
      <w:r w:rsidRPr="00993152">
        <w:t xml:space="preserve"> 101 ff  zu § 22). </w:t>
      </w:r>
    </w:p>
    <w:p w:rsidR="00950E15" w:rsidRPr="00993152" w:rsidRDefault="00950E15" w:rsidP="0036466E">
      <w:pPr>
        <w:jc w:val="both"/>
      </w:pPr>
      <w:r w:rsidRPr="00993152">
        <w:t>Wertsteigernde Erneuerungsmaßnahmen fallen nicht unter diese Fallgestaltungen (vgl. LSG Berlin-Brandenburg 30.9.2010 – L AS 328/10</w:t>
      </w:r>
      <w:r w:rsidR="00421A60" w:rsidRPr="00993152">
        <w:t>-</w:t>
      </w:r>
      <w:r w:rsidRPr="00993152">
        <w:t>).</w:t>
      </w:r>
    </w:p>
    <w:p w:rsidR="007E6768" w:rsidRPr="00993152" w:rsidRDefault="007E6768" w:rsidP="007E6768">
      <w:pPr>
        <w:jc w:val="both"/>
        <w:rPr>
          <w:rFonts w:cs="Arial"/>
        </w:rPr>
      </w:pPr>
      <w:r w:rsidRPr="00993152">
        <w:rPr>
          <w:rFonts w:cs="Arial"/>
        </w:rPr>
        <w:t>Handelt es sich bei dem selbst genutzten Haus nicht um ein Hausgrundstück von angemessener Größe i</w:t>
      </w:r>
      <w:r w:rsidR="008D6200" w:rsidRPr="00993152">
        <w:rPr>
          <w:rFonts w:cs="Arial"/>
        </w:rPr>
        <w:t>.</w:t>
      </w:r>
      <w:r w:rsidRPr="00993152">
        <w:rPr>
          <w:rFonts w:cs="Arial"/>
        </w:rPr>
        <w:t>S</w:t>
      </w:r>
      <w:r w:rsidR="008D6200" w:rsidRPr="00993152">
        <w:rPr>
          <w:rFonts w:cs="Arial"/>
        </w:rPr>
        <w:t>.</w:t>
      </w:r>
      <w:r w:rsidRPr="00993152">
        <w:rPr>
          <w:rFonts w:cs="Arial"/>
        </w:rPr>
        <w:t xml:space="preserve"> von </w:t>
      </w:r>
      <w:r w:rsidRPr="00993152">
        <w:rPr>
          <w:rFonts w:cs="Arial"/>
          <w:bdr w:val="none" w:sz="0" w:space="0" w:color="auto" w:frame="1"/>
        </w:rPr>
        <w:t>§ 12 Abs</w:t>
      </w:r>
      <w:r w:rsidR="008D6200" w:rsidRPr="00993152">
        <w:rPr>
          <w:rFonts w:cs="Arial"/>
          <w:bdr w:val="none" w:sz="0" w:space="0" w:color="auto" w:frame="1"/>
        </w:rPr>
        <w:t>.</w:t>
      </w:r>
      <w:r w:rsidRPr="00993152">
        <w:rPr>
          <w:rFonts w:cs="Arial"/>
          <w:bdr w:val="none" w:sz="0" w:space="0" w:color="auto" w:frame="1"/>
        </w:rPr>
        <w:t xml:space="preserve"> 3 S 1 Nr</w:t>
      </w:r>
      <w:r w:rsidR="008D6200" w:rsidRPr="00993152">
        <w:rPr>
          <w:rFonts w:cs="Arial"/>
          <w:bdr w:val="none" w:sz="0" w:space="0" w:color="auto" w:frame="1"/>
        </w:rPr>
        <w:t>.</w:t>
      </w:r>
      <w:r w:rsidRPr="00993152">
        <w:rPr>
          <w:rFonts w:cs="Arial"/>
          <w:bdr w:val="none" w:sz="0" w:space="0" w:color="auto" w:frame="1"/>
        </w:rPr>
        <w:t xml:space="preserve"> 4 SGB </w:t>
      </w:r>
      <w:r w:rsidR="00456981">
        <w:rPr>
          <w:rFonts w:cs="Arial"/>
          <w:bdr w:val="none" w:sz="0" w:space="0" w:color="auto" w:frame="1"/>
        </w:rPr>
        <w:t>II</w:t>
      </w:r>
      <w:r w:rsidRPr="00993152">
        <w:rPr>
          <w:rFonts w:cs="Arial"/>
        </w:rPr>
        <w:t xml:space="preserve">, weil die - entsprechend der Personenzahl - anzupassenden Wohnflächengrenzen nach </w:t>
      </w:r>
      <w:r w:rsidRPr="00993152">
        <w:rPr>
          <w:rFonts w:cs="Arial"/>
          <w:bdr w:val="none" w:sz="0" w:space="0" w:color="auto" w:frame="1"/>
        </w:rPr>
        <w:t>§ 39</w:t>
      </w:r>
      <w:r w:rsidR="005B2D35" w:rsidRPr="00993152">
        <w:rPr>
          <w:rFonts w:cs="Arial"/>
          <w:bdr w:val="none" w:sz="0" w:space="0" w:color="auto" w:frame="1"/>
        </w:rPr>
        <w:t xml:space="preserve"> II </w:t>
      </w:r>
      <w:r w:rsidRPr="00993152">
        <w:rPr>
          <w:rFonts w:cs="Arial"/>
          <w:bdr w:val="none" w:sz="0" w:space="0" w:color="auto" w:frame="1"/>
        </w:rPr>
        <w:t>WoBauG</w:t>
      </w:r>
      <w:r w:rsidRPr="00993152">
        <w:rPr>
          <w:rFonts w:cs="Arial"/>
        </w:rPr>
        <w:t xml:space="preserve">  überschritten sind,</w:t>
      </w:r>
      <w:r w:rsidR="00456981">
        <w:rPr>
          <w:rFonts w:cs="Arial"/>
        </w:rPr>
        <w:t xml:space="preserve"> </w:t>
      </w:r>
      <w:r w:rsidR="00456981" w:rsidRPr="00456981">
        <w:rPr>
          <w:rFonts w:cs="Arial"/>
          <w:color w:val="00B050"/>
        </w:rPr>
        <w:t>oder ein Grenzwert von 130m² für einen Vierpersonenhaushalt nach der ständigen Rechtsprechung des BSG  überschritten wird</w:t>
      </w:r>
      <w:r w:rsidR="00456981">
        <w:rPr>
          <w:rFonts w:cs="Arial"/>
        </w:rPr>
        <w:t>,</w:t>
      </w:r>
      <w:r w:rsidRPr="00993152">
        <w:rPr>
          <w:rFonts w:cs="Arial"/>
        </w:rPr>
        <w:t xml:space="preserve"> so ist auch unter diesem Gesichtspunkt die </w:t>
      </w:r>
      <w:r w:rsidRPr="00993152">
        <w:rPr>
          <w:rFonts w:cs="Arial"/>
        </w:rPr>
        <w:lastRenderedPageBreak/>
        <w:t>Angemessenheit der Reparaturkosten zu verneinen (LSG Nordrhein-Westfalen 30.08.2007 – L 9 B 136/07 AS ER</w:t>
      </w:r>
      <w:r w:rsidR="00421A60" w:rsidRPr="00993152">
        <w:rPr>
          <w:rFonts w:cs="Arial"/>
        </w:rPr>
        <w:t>-</w:t>
      </w:r>
      <w:r w:rsidR="00456981">
        <w:rPr>
          <w:rFonts w:cs="Arial"/>
        </w:rPr>
        <w:t xml:space="preserve"> und </w:t>
      </w:r>
      <w:r w:rsidR="00456981" w:rsidRPr="00456981">
        <w:rPr>
          <w:rFonts w:cs="Arial"/>
          <w:color w:val="00B050"/>
        </w:rPr>
        <w:t>LSG Sachsen-Anhalt 22.10.2015 –L 4 AS 431/15 B-</w:t>
      </w:r>
      <w:r w:rsidR="00456981">
        <w:rPr>
          <w:rFonts w:cs="Arial"/>
        </w:rPr>
        <w:t>)</w:t>
      </w:r>
      <w:r w:rsidRPr="00993152">
        <w:rPr>
          <w:rFonts w:cs="Arial"/>
        </w:rPr>
        <w:t>.</w:t>
      </w:r>
    </w:p>
    <w:p w:rsidR="007E6768" w:rsidRPr="00993152" w:rsidRDefault="007E6768" w:rsidP="0036466E">
      <w:pPr>
        <w:jc w:val="both"/>
      </w:pPr>
    </w:p>
    <w:p w:rsidR="00950E15" w:rsidRPr="00993152" w:rsidRDefault="00950E15" w:rsidP="00950E15">
      <w:pPr>
        <w:ind w:left="360"/>
      </w:pPr>
    </w:p>
    <w:p w:rsidR="00D66C97" w:rsidRPr="00993152" w:rsidRDefault="00D66C97" w:rsidP="00950E15">
      <w:pPr>
        <w:ind w:left="360"/>
      </w:pPr>
    </w:p>
    <w:p w:rsidR="00D0105F" w:rsidRPr="00993152" w:rsidRDefault="00D0105F" w:rsidP="00C51FF8">
      <w:pPr>
        <w:pStyle w:val="berschrift2"/>
        <w:numPr>
          <w:ilvl w:val="0"/>
          <w:numId w:val="0"/>
        </w:numPr>
      </w:pPr>
      <w:r w:rsidRPr="00993152">
        <w:rPr>
          <w:sz w:val="24"/>
          <w:szCs w:val="24"/>
        </w:rPr>
        <w:t>2.1</w:t>
      </w:r>
      <w:r w:rsidRPr="00993152">
        <w:t xml:space="preserve"> </w:t>
      </w:r>
      <w:r w:rsidRPr="00993152">
        <w:rPr>
          <w:sz w:val="24"/>
          <w:szCs w:val="24"/>
        </w:rPr>
        <w:t>Aufwendungen für Instandhaltung und Reparatur</w:t>
      </w:r>
    </w:p>
    <w:p w:rsidR="00D0105F" w:rsidRPr="00993152" w:rsidRDefault="00D0105F" w:rsidP="0036466E">
      <w:pPr>
        <w:jc w:val="both"/>
      </w:pPr>
    </w:p>
    <w:p w:rsidR="000B3DF0" w:rsidRPr="00993152" w:rsidRDefault="000B3DF0" w:rsidP="0036466E">
      <w:pPr>
        <w:jc w:val="both"/>
      </w:pPr>
      <w:r w:rsidRPr="00993152">
        <w:t>In der bisherigen Rechtsprechung wurden</w:t>
      </w:r>
      <w:r w:rsidR="00354B30" w:rsidRPr="00993152">
        <w:t xml:space="preserve"> beispielsweise </w:t>
      </w:r>
      <w:r w:rsidRPr="00993152">
        <w:t>anerkannt:</w:t>
      </w:r>
    </w:p>
    <w:p w:rsidR="00610429" w:rsidRPr="00993152" w:rsidRDefault="00610429" w:rsidP="0036466E">
      <w:pPr>
        <w:jc w:val="both"/>
      </w:pPr>
    </w:p>
    <w:p w:rsidR="00354B30" w:rsidRPr="00993152" w:rsidRDefault="00354B30" w:rsidP="0036466E">
      <w:pPr>
        <w:jc w:val="both"/>
      </w:pPr>
      <w:r w:rsidRPr="00993152">
        <w:t xml:space="preserve">Wechsel Ölbrenner Heizung </w:t>
      </w:r>
      <w:r w:rsidR="00835BF4" w:rsidRPr="00993152">
        <w:t xml:space="preserve">       </w:t>
      </w:r>
      <w:r w:rsidR="00AC64C5" w:rsidRPr="00993152">
        <w:t xml:space="preserve"> </w:t>
      </w:r>
      <w:r w:rsidR="00610429" w:rsidRPr="00993152">
        <w:t xml:space="preserve"> </w:t>
      </w:r>
      <w:r w:rsidR="00835BF4" w:rsidRPr="00993152">
        <w:t xml:space="preserve">- </w:t>
      </w:r>
      <w:r w:rsidRPr="00993152">
        <w:t>LSG N</w:t>
      </w:r>
      <w:r w:rsidR="00AC64C5" w:rsidRPr="00993152">
        <w:t>iedersachsen-Bremen</w:t>
      </w:r>
      <w:r w:rsidRPr="00993152">
        <w:t xml:space="preserve"> 27.3.2007 – L 9 AS 137/07</w:t>
      </w:r>
      <w:r w:rsidR="00AC64C5" w:rsidRPr="00993152">
        <w:t>-</w:t>
      </w:r>
    </w:p>
    <w:p w:rsidR="00610429" w:rsidRPr="00993152" w:rsidRDefault="00610429" w:rsidP="00610429">
      <w:pPr>
        <w:jc w:val="both"/>
      </w:pPr>
      <w:r w:rsidRPr="00993152">
        <w:t>Reparatur Warmwasserboiler        - LSG Baden-Württemberg 26.05.2009 – L 12 AS 575/09-</w:t>
      </w:r>
    </w:p>
    <w:p w:rsidR="00610429" w:rsidRPr="00993152" w:rsidRDefault="00610429" w:rsidP="0036466E">
      <w:pPr>
        <w:jc w:val="both"/>
      </w:pPr>
      <w:r w:rsidRPr="00993152">
        <w:t>Schornstein                                    - LSG Sachsen-Anhalt 11.01.2010 – L 5 AS 216/09 B ER-</w:t>
      </w:r>
    </w:p>
    <w:p w:rsidR="00835BF4" w:rsidRPr="00993152" w:rsidRDefault="00835BF4" w:rsidP="0036466E">
      <w:pPr>
        <w:jc w:val="both"/>
      </w:pPr>
      <w:r w:rsidRPr="00993152">
        <w:t>Abwasserbeseitigung/Kläranlage</w:t>
      </w:r>
      <w:r w:rsidR="00AC64C5" w:rsidRPr="00993152">
        <w:t xml:space="preserve"> </w:t>
      </w:r>
      <w:r w:rsidR="00CE17AD">
        <w:t xml:space="preserve">  </w:t>
      </w:r>
      <w:r w:rsidR="00AC64C5" w:rsidRPr="00993152">
        <w:t>-</w:t>
      </w:r>
      <w:r w:rsidRPr="00993152">
        <w:t xml:space="preserve"> LSG S</w:t>
      </w:r>
      <w:r w:rsidR="00AC64C5" w:rsidRPr="00993152">
        <w:t>achsen-Anhalt</w:t>
      </w:r>
      <w:r w:rsidRPr="00993152">
        <w:t xml:space="preserve"> 06.07.2010 – L 5 136/10 B ER</w:t>
      </w:r>
      <w:r w:rsidR="00AC64C5" w:rsidRPr="00993152">
        <w:t>-</w:t>
      </w:r>
    </w:p>
    <w:p w:rsidR="00610429" w:rsidRPr="00993152" w:rsidRDefault="00610429" w:rsidP="0036466E">
      <w:pPr>
        <w:jc w:val="both"/>
      </w:pPr>
      <w:r w:rsidRPr="00993152">
        <w:t xml:space="preserve">Trinkwasseranschluss                 </w:t>
      </w:r>
      <w:r w:rsidR="00CE17AD">
        <w:t xml:space="preserve">  </w:t>
      </w:r>
      <w:r w:rsidRPr="00993152">
        <w:t xml:space="preserve"> - LSG Berlin-Brandenburg 30.09.2010 – L 29 AS 328/10- </w:t>
      </w:r>
    </w:p>
    <w:p w:rsidR="00610429" w:rsidRPr="00993152" w:rsidRDefault="00610429" w:rsidP="00610429">
      <w:pPr>
        <w:jc w:val="both"/>
      </w:pPr>
      <w:r w:rsidRPr="00993152">
        <w:t xml:space="preserve">Dachsanierung                              </w:t>
      </w:r>
      <w:r w:rsidR="00183AE3">
        <w:t xml:space="preserve"> </w:t>
      </w:r>
      <w:r w:rsidRPr="00993152">
        <w:t>- LSG Rheinland-Pfalz 26.10.2010 –L 5 AS 345/09 B ER –</w:t>
      </w:r>
    </w:p>
    <w:p w:rsidR="00610429" w:rsidRPr="00993152" w:rsidRDefault="00610429" w:rsidP="00610429">
      <w:pPr>
        <w:jc w:val="both"/>
      </w:pPr>
      <w:r w:rsidRPr="00993152">
        <w:t xml:space="preserve">Reparatur der Heizung                 </w:t>
      </w:r>
      <w:r w:rsidR="00CE17AD">
        <w:t xml:space="preserve">  </w:t>
      </w:r>
      <w:r w:rsidRPr="00993152">
        <w:t>- LSG Nordrhein-Westfalen 23.11.2010 L 1 AS 426/10-</w:t>
      </w:r>
    </w:p>
    <w:p w:rsidR="00610429" w:rsidRPr="00993152" w:rsidRDefault="00610429" w:rsidP="0036466E">
      <w:pPr>
        <w:jc w:val="both"/>
      </w:pPr>
      <w:r w:rsidRPr="00993152">
        <w:t xml:space="preserve">Ersatz Haustüre                            </w:t>
      </w:r>
      <w:r w:rsidR="00CE17AD">
        <w:t xml:space="preserve"> </w:t>
      </w:r>
      <w:r w:rsidRPr="00993152">
        <w:t xml:space="preserve"> - LSG Sachsen-Anhalt 03.01.2011 – L 5 AS 423/09 B ER-  </w:t>
      </w:r>
    </w:p>
    <w:p w:rsidR="00835BF4" w:rsidRPr="00993152" w:rsidRDefault="006D5F81" w:rsidP="0036466E">
      <w:pPr>
        <w:jc w:val="both"/>
      </w:pPr>
      <w:r w:rsidRPr="00993152">
        <w:t xml:space="preserve">Kanalanschluss                           </w:t>
      </w:r>
      <w:r w:rsidR="00CE17AD">
        <w:t xml:space="preserve">  </w:t>
      </w:r>
      <w:r w:rsidRPr="00993152">
        <w:t xml:space="preserve"> - BSG 24.02.2011 – B 14 AS 61/10 R</w:t>
      </w:r>
      <w:r w:rsidR="00AC64C5" w:rsidRPr="00993152">
        <w:t>-</w:t>
      </w:r>
    </w:p>
    <w:p w:rsidR="00D66C97" w:rsidRPr="00993152" w:rsidRDefault="00D66C97" w:rsidP="0036466E">
      <w:pPr>
        <w:jc w:val="both"/>
      </w:pPr>
    </w:p>
    <w:p w:rsidR="0034700C" w:rsidRPr="00993152" w:rsidRDefault="0034700C" w:rsidP="0036466E">
      <w:pPr>
        <w:jc w:val="both"/>
      </w:pPr>
    </w:p>
    <w:p w:rsidR="00835BF4" w:rsidRPr="00993152" w:rsidRDefault="00835BF4" w:rsidP="00C51FF8">
      <w:pPr>
        <w:pStyle w:val="berschrift2"/>
        <w:numPr>
          <w:ilvl w:val="0"/>
          <w:numId w:val="0"/>
        </w:numPr>
        <w:ind w:left="709" w:hanging="709"/>
        <w:rPr>
          <w:sz w:val="24"/>
          <w:szCs w:val="24"/>
        </w:rPr>
      </w:pPr>
      <w:r w:rsidRPr="00993152">
        <w:rPr>
          <w:sz w:val="24"/>
          <w:szCs w:val="24"/>
        </w:rPr>
        <w:t xml:space="preserve">2.2 </w:t>
      </w:r>
      <w:r w:rsidR="00F66774" w:rsidRPr="00993152">
        <w:rPr>
          <w:sz w:val="24"/>
          <w:szCs w:val="24"/>
        </w:rPr>
        <w:t xml:space="preserve"> </w:t>
      </w:r>
      <w:r w:rsidR="00B84A7E" w:rsidRPr="00993152">
        <w:rPr>
          <w:sz w:val="24"/>
          <w:szCs w:val="24"/>
        </w:rPr>
        <w:t xml:space="preserve">   </w:t>
      </w:r>
      <w:r w:rsidRPr="00993152">
        <w:rPr>
          <w:sz w:val="24"/>
          <w:szCs w:val="24"/>
        </w:rPr>
        <w:t xml:space="preserve">Übernahme </w:t>
      </w:r>
      <w:r w:rsidR="00F66774" w:rsidRPr="00993152">
        <w:rPr>
          <w:sz w:val="24"/>
          <w:szCs w:val="24"/>
        </w:rPr>
        <w:t xml:space="preserve">unabweisbarer angemessener Aufwendungen </w:t>
      </w:r>
      <w:r w:rsidRPr="00993152">
        <w:rPr>
          <w:sz w:val="24"/>
          <w:szCs w:val="24"/>
        </w:rPr>
        <w:t xml:space="preserve">als </w:t>
      </w:r>
      <w:r w:rsidR="00B84A7E" w:rsidRPr="00993152">
        <w:rPr>
          <w:sz w:val="24"/>
          <w:szCs w:val="24"/>
        </w:rPr>
        <w:t xml:space="preserve">          </w:t>
      </w:r>
      <w:r w:rsidRPr="00993152">
        <w:rPr>
          <w:sz w:val="24"/>
          <w:szCs w:val="24"/>
        </w:rPr>
        <w:t>Zuschuss</w:t>
      </w:r>
      <w:r w:rsidR="00B84A7E" w:rsidRPr="00993152">
        <w:rPr>
          <w:sz w:val="24"/>
          <w:szCs w:val="24"/>
        </w:rPr>
        <w:t xml:space="preserve"> </w:t>
      </w:r>
      <w:r w:rsidR="00F66774" w:rsidRPr="00993152">
        <w:rPr>
          <w:sz w:val="24"/>
          <w:szCs w:val="24"/>
        </w:rPr>
        <w:t>/</w:t>
      </w:r>
      <w:r w:rsidR="00B84A7E" w:rsidRPr="00993152">
        <w:rPr>
          <w:sz w:val="24"/>
          <w:szCs w:val="24"/>
        </w:rPr>
        <w:t xml:space="preserve">  </w:t>
      </w:r>
      <w:r w:rsidR="00F66774" w:rsidRPr="00993152">
        <w:rPr>
          <w:sz w:val="24"/>
          <w:szCs w:val="24"/>
        </w:rPr>
        <w:t>Berechnung</w:t>
      </w:r>
      <w:r w:rsidR="00B84A7E" w:rsidRPr="00993152">
        <w:rPr>
          <w:sz w:val="24"/>
          <w:szCs w:val="24"/>
        </w:rPr>
        <w:t xml:space="preserve">  </w:t>
      </w:r>
      <w:r w:rsidRPr="00993152">
        <w:rPr>
          <w:sz w:val="24"/>
          <w:szCs w:val="24"/>
        </w:rPr>
        <w:t xml:space="preserve"> </w:t>
      </w:r>
      <w:r w:rsidR="00F66774" w:rsidRPr="00993152">
        <w:rPr>
          <w:sz w:val="24"/>
          <w:szCs w:val="24"/>
        </w:rPr>
        <w:t xml:space="preserve"> </w:t>
      </w:r>
      <w:r w:rsidRPr="00993152">
        <w:rPr>
          <w:sz w:val="24"/>
          <w:szCs w:val="24"/>
        </w:rPr>
        <w:t>(§ 22 Abs. 2 Satz 1 SGBII)</w:t>
      </w:r>
    </w:p>
    <w:p w:rsidR="00175507" w:rsidRPr="00993152" w:rsidRDefault="00175507" w:rsidP="0036466E">
      <w:pPr>
        <w:jc w:val="both"/>
      </w:pPr>
    </w:p>
    <w:p w:rsidR="00175507" w:rsidRPr="00993152" w:rsidRDefault="00175507" w:rsidP="0036466E">
      <w:pPr>
        <w:jc w:val="both"/>
      </w:pPr>
      <w:r w:rsidRPr="00993152">
        <w:t>Soweit die unabweisbaren Aufwendungen angemessen sind, sind sie als Zuschuss zu gewähren</w:t>
      </w:r>
      <w:r w:rsidR="0034700C" w:rsidRPr="00993152">
        <w:t xml:space="preserve"> (</w:t>
      </w:r>
      <w:r w:rsidR="0034700C" w:rsidRPr="00993152">
        <w:rPr>
          <w:i/>
          <w:sz w:val="20"/>
          <w:szCs w:val="20"/>
        </w:rPr>
        <w:t>TB § 22 SGB II -70</w:t>
      </w:r>
      <w:r w:rsidR="0034700C" w:rsidRPr="00993152">
        <w:t>)</w:t>
      </w:r>
      <w:r w:rsidRPr="00993152">
        <w:t xml:space="preserve">. </w:t>
      </w:r>
      <w:r w:rsidR="00F66774" w:rsidRPr="00993152">
        <w:rPr>
          <w:b/>
        </w:rPr>
        <w:t>Angemessen</w:t>
      </w:r>
      <w:r w:rsidR="00F66774" w:rsidRPr="00993152">
        <w:t xml:space="preserve"> sind die Aufwendungen dann, wenn sie</w:t>
      </w:r>
      <w:r w:rsidRPr="00993152">
        <w:t xml:space="preserve"> </w:t>
      </w:r>
      <w:r w:rsidR="00F66774" w:rsidRPr="00993152">
        <w:t xml:space="preserve">zusammen mit den bisher anerkannten mtl. KdU </w:t>
      </w:r>
      <w:r w:rsidR="00956B92" w:rsidRPr="00993152">
        <w:t>in den</w:t>
      </w:r>
      <w:r w:rsidRPr="00993152">
        <w:t xml:space="preserve"> laufenden und  den</w:t>
      </w:r>
      <w:r w:rsidR="00956B92" w:rsidRPr="00993152">
        <w:t xml:space="preserve"> elf</w:t>
      </w:r>
      <w:r w:rsidRPr="00993152">
        <w:t xml:space="preserve"> darauf folgenden  Kalendermonaten insgesamt </w:t>
      </w:r>
      <w:r w:rsidR="00F66774" w:rsidRPr="00993152">
        <w:t>noch innerhalb der Angemessenheitsgrenze liegen</w:t>
      </w:r>
      <w:r w:rsidRPr="00993152">
        <w:t xml:space="preserve">. </w:t>
      </w:r>
      <w:r w:rsidR="00F66774" w:rsidRPr="00993152">
        <w:t xml:space="preserve">Bis zu diesen Betrag ist ein </w:t>
      </w:r>
      <w:r w:rsidR="00B21216" w:rsidRPr="00993152">
        <w:t xml:space="preserve">(anteiliger) </w:t>
      </w:r>
      <w:r w:rsidR="00F66774" w:rsidRPr="00993152">
        <w:t>Zuschuss zu gewähren. Die unabweisbaren Ausgaben sind dann als einmalige Leistung zu gewähren und nicht mtl. mit den laufenden KdU auszuzahlen.</w:t>
      </w:r>
    </w:p>
    <w:p w:rsidR="00131DA9" w:rsidRPr="00993152" w:rsidRDefault="00131DA9" w:rsidP="0036466E">
      <w:pPr>
        <w:jc w:val="both"/>
      </w:pPr>
    </w:p>
    <w:p w:rsidR="00D66C97" w:rsidRPr="00993152" w:rsidRDefault="00D66C97" w:rsidP="0036466E">
      <w:pPr>
        <w:jc w:val="both"/>
      </w:pPr>
    </w:p>
    <w:p w:rsidR="00131DA9" w:rsidRPr="00993152" w:rsidRDefault="00131DA9" w:rsidP="00AB72AB">
      <w:pPr>
        <w:pStyle w:val="berschrift2"/>
        <w:numPr>
          <w:ilvl w:val="0"/>
          <w:numId w:val="0"/>
        </w:numPr>
        <w:ind w:left="567" w:hanging="567"/>
        <w:rPr>
          <w:sz w:val="24"/>
          <w:szCs w:val="24"/>
        </w:rPr>
      </w:pPr>
      <w:r w:rsidRPr="00993152">
        <w:rPr>
          <w:sz w:val="24"/>
          <w:szCs w:val="24"/>
        </w:rPr>
        <w:t xml:space="preserve">2.3 </w:t>
      </w:r>
      <w:r w:rsidR="00824BAE" w:rsidRPr="00993152">
        <w:rPr>
          <w:sz w:val="24"/>
          <w:szCs w:val="24"/>
        </w:rPr>
        <w:t xml:space="preserve">   </w:t>
      </w:r>
      <w:r w:rsidRPr="00993152">
        <w:rPr>
          <w:sz w:val="24"/>
          <w:szCs w:val="24"/>
        </w:rPr>
        <w:t>Übernahme unabweisbarer Aufwendungen als Darlehen</w:t>
      </w:r>
      <w:r w:rsidR="00AB72AB" w:rsidRPr="00993152">
        <w:rPr>
          <w:sz w:val="24"/>
          <w:szCs w:val="24"/>
        </w:rPr>
        <w:t xml:space="preserve">                         </w:t>
      </w:r>
      <w:r w:rsidR="00824BAE" w:rsidRPr="00993152">
        <w:rPr>
          <w:sz w:val="24"/>
          <w:szCs w:val="24"/>
        </w:rPr>
        <w:t xml:space="preserve">     </w:t>
      </w:r>
      <w:r w:rsidRPr="00993152">
        <w:rPr>
          <w:sz w:val="24"/>
          <w:szCs w:val="24"/>
        </w:rPr>
        <w:t>(§ 22 Abs. 2 Satz 2 SGBII)</w:t>
      </w:r>
    </w:p>
    <w:p w:rsidR="00357216" w:rsidRPr="00993152" w:rsidRDefault="00357216" w:rsidP="00824BAE">
      <w:pPr>
        <w:ind w:left="283"/>
        <w:jc w:val="both"/>
        <w:rPr>
          <w:b/>
          <w:sz w:val="24"/>
          <w:szCs w:val="24"/>
        </w:rPr>
      </w:pPr>
    </w:p>
    <w:p w:rsidR="00357216" w:rsidRPr="00993152" w:rsidRDefault="00357216" w:rsidP="00357216">
      <w:pPr>
        <w:jc w:val="both"/>
      </w:pPr>
      <w:r w:rsidRPr="00993152">
        <w:t>Wenn die unabweisbaren Aufwendungen höher sind als der mögliche Zuschuss nach Satz 1, kann für den dann noch übersteigenden Betrag ein Darlehen gewährt werden.</w:t>
      </w:r>
    </w:p>
    <w:p w:rsidR="004936E5" w:rsidRPr="00993152" w:rsidRDefault="004936E5" w:rsidP="00357216">
      <w:pPr>
        <w:jc w:val="both"/>
      </w:pPr>
    </w:p>
    <w:p w:rsidR="00357216" w:rsidRPr="00993152" w:rsidRDefault="00357216" w:rsidP="00357216">
      <w:pPr>
        <w:jc w:val="both"/>
      </w:pPr>
      <w:r w:rsidRPr="00993152">
        <w:t xml:space="preserve">Hierbei handelt es sich um eine </w:t>
      </w:r>
      <w:r w:rsidRPr="00993152">
        <w:rPr>
          <w:b/>
        </w:rPr>
        <w:t>Ermessensentscheidung</w:t>
      </w:r>
      <w:r w:rsidRPr="00993152">
        <w:t xml:space="preserve">. </w:t>
      </w:r>
    </w:p>
    <w:p w:rsidR="00956B92" w:rsidRPr="00993152" w:rsidRDefault="00956B92" w:rsidP="00357216">
      <w:pPr>
        <w:jc w:val="both"/>
      </w:pPr>
      <w:r w:rsidRPr="00993152">
        <w:t>Mögliche Ermessensgesichtspunkte können sein: Höhe der Aufwendungen,  Wahrscheinlichkeit evtl. weiterer Instandhaltungsmaßnahmen, möglicher Verlust des Eigenheims  bei Darlehensablehnung.</w:t>
      </w:r>
    </w:p>
    <w:p w:rsidR="00124E98" w:rsidRPr="00993152" w:rsidRDefault="003905EB" w:rsidP="00357216">
      <w:pPr>
        <w:jc w:val="both"/>
      </w:pPr>
      <w:r w:rsidRPr="00993152">
        <w:t>Im</w:t>
      </w:r>
      <w:r w:rsidR="00124E98" w:rsidRPr="00993152">
        <w:t xml:space="preserve"> Bescheid </w:t>
      </w:r>
      <w:r w:rsidR="0034700C" w:rsidRPr="00993152">
        <w:t>(</w:t>
      </w:r>
      <w:r w:rsidR="0034700C" w:rsidRPr="00993152">
        <w:rPr>
          <w:i/>
          <w:sz w:val="20"/>
          <w:szCs w:val="20"/>
        </w:rPr>
        <w:t>TB § 22 SGB II -71 und 72</w:t>
      </w:r>
      <w:r w:rsidR="0034700C" w:rsidRPr="00993152">
        <w:t xml:space="preserve">) </w:t>
      </w:r>
      <w:r w:rsidR="00124E98" w:rsidRPr="00993152">
        <w:t>m</w:t>
      </w:r>
      <w:r w:rsidRPr="00993152">
        <w:t>ü</w:t>
      </w:r>
      <w:r w:rsidR="00124E98" w:rsidRPr="00993152">
        <w:t>ss</w:t>
      </w:r>
      <w:r w:rsidRPr="00993152">
        <w:t>en</w:t>
      </w:r>
      <w:r w:rsidR="00124E98" w:rsidRPr="00993152">
        <w:t xml:space="preserve"> die Ermessensgesichtspunkte erkenn</w:t>
      </w:r>
      <w:r w:rsidRPr="00993152">
        <w:t>bar sein.</w:t>
      </w:r>
    </w:p>
    <w:p w:rsidR="00B23BDA" w:rsidRPr="00993152" w:rsidRDefault="00B23BDA" w:rsidP="00357216">
      <w:pPr>
        <w:jc w:val="both"/>
      </w:pPr>
    </w:p>
    <w:p w:rsidR="003E315D" w:rsidRDefault="00B23BDA" w:rsidP="00521390">
      <w:pPr>
        <w:pStyle w:val="Default"/>
        <w:jc w:val="both"/>
        <w:rPr>
          <w:color w:val="auto"/>
          <w:sz w:val="22"/>
          <w:szCs w:val="22"/>
        </w:rPr>
      </w:pPr>
      <w:r w:rsidRPr="00993152">
        <w:rPr>
          <w:color w:val="auto"/>
          <w:sz w:val="22"/>
          <w:szCs w:val="22"/>
        </w:rPr>
        <w:t xml:space="preserve">Darlehen werden jedoch nur erbracht, wenn der Bedarf weder durch Vermögen nach § 12 Absatz 2 Satz 1 Nummer 1, 1a und 4 SGB II noch auf andere Weise gedeckt werden kann. </w:t>
      </w:r>
    </w:p>
    <w:p w:rsidR="003E315D" w:rsidRDefault="003E315D" w:rsidP="00521390">
      <w:pPr>
        <w:pStyle w:val="Default"/>
        <w:jc w:val="both"/>
        <w:rPr>
          <w:color w:val="auto"/>
          <w:sz w:val="22"/>
          <w:szCs w:val="22"/>
        </w:rPr>
      </w:pPr>
    </w:p>
    <w:p w:rsidR="00B23BDA" w:rsidRPr="00993152" w:rsidRDefault="00B23BDA" w:rsidP="00521390">
      <w:pPr>
        <w:pStyle w:val="Default"/>
        <w:jc w:val="both"/>
        <w:rPr>
          <w:color w:val="auto"/>
          <w:sz w:val="22"/>
          <w:szCs w:val="22"/>
        </w:rPr>
      </w:pPr>
      <w:r w:rsidRPr="00993152">
        <w:rPr>
          <w:color w:val="auto"/>
          <w:sz w:val="22"/>
          <w:szCs w:val="22"/>
        </w:rPr>
        <w:lastRenderedPageBreak/>
        <w:t xml:space="preserve">Darlehen können an einzelne Mitglieder </w:t>
      </w:r>
      <w:r w:rsidR="008925FF" w:rsidRPr="00993152">
        <w:rPr>
          <w:color w:val="auto"/>
          <w:sz w:val="22"/>
          <w:szCs w:val="22"/>
        </w:rPr>
        <w:t>der BG</w:t>
      </w:r>
      <w:r w:rsidRPr="00993152">
        <w:rPr>
          <w:color w:val="auto"/>
          <w:sz w:val="22"/>
          <w:szCs w:val="22"/>
        </w:rPr>
        <w:t xml:space="preserve"> oder an mehrere gemeinsam vergeben werden. Die Rückzahlungsverpflichtung trifft die Darlehensnehmer (§ 42a Abs. 1 SGB II). </w:t>
      </w:r>
    </w:p>
    <w:p w:rsidR="00B23BDA" w:rsidRPr="00993152" w:rsidRDefault="00B23BDA" w:rsidP="00521390">
      <w:pPr>
        <w:pStyle w:val="Default"/>
        <w:jc w:val="both"/>
        <w:rPr>
          <w:color w:val="auto"/>
          <w:sz w:val="22"/>
          <w:szCs w:val="22"/>
        </w:rPr>
      </w:pPr>
    </w:p>
    <w:p w:rsidR="00956B92" w:rsidRPr="00993152" w:rsidRDefault="00956B92" w:rsidP="00521390">
      <w:pPr>
        <w:jc w:val="both"/>
      </w:pPr>
      <w:r w:rsidRPr="00993152">
        <w:t xml:space="preserve">Eine Darlehensgewährung scheidet </w:t>
      </w:r>
      <w:r w:rsidR="00B23BDA" w:rsidRPr="00993152">
        <w:t xml:space="preserve">auch </w:t>
      </w:r>
      <w:r w:rsidRPr="00993152">
        <w:t>aus, wenn sich das Eigentum insgesamt in einem baulich so schlechten Zustand befindet, dass durch die Maßnahme die Immobilie im Grunde neu hergestellt wird (so bei Bauwerkstrockenlegung LSG S</w:t>
      </w:r>
      <w:r w:rsidR="009879A1" w:rsidRPr="00993152">
        <w:t>achsen-Anhalt</w:t>
      </w:r>
      <w:r w:rsidRPr="00993152">
        <w:t xml:space="preserve"> 22.12.2010 – L 2 AS 425/10 B ER</w:t>
      </w:r>
      <w:r w:rsidR="009879A1" w:rsidRPr="00993152">
        <w:t>-</w:t>
      </w:r>
      <w:r w:rsidRPr="00993152">
        <w:t>).</w:t>
      </w:r>
    </w:p>
    <w:p w:rsidR="00B23BDA" w:rsidRPr="00993152" w:rsidRDefault="00B23BDA" w:rsidP="00521390">
      <w:pPr>
        <w:jc w:val="both"/>
      </w:pPr>
    </w:p>
    <w:p w:rsidR="00124E98" w:rsidRPr="00993152" w:rsidRDefault="00124E98" w:rsidP="00521390">
      <w:pPr>
        <w:jc w:val="both"/>
      </w:pPr>
      <w:r w:rsidRPr="00993152">
        <w:t>Das Darlehen soll dinglich gesichert werden. Davon kann jedoch abgesehen werden, wenn die Darlehenshöhe nur gering ist, ein Eintrag im Grundbuch nur an nachgeordneter Stelle möglich ist oder die Rückzahlung auch so (z.B</w:t>
      </w:r>
      <w:r w:rsidR="008D6200" w:rsidRPr="00993152">
        <w:t>.</w:t>
      </w:r>
      <w:r w:rsidRPr="00993152">
        <w:t xml:space="preserve"> durch Aufrechnung) gesichert erscheint.</w:t>
      </w:r>
    </w:p>
    <w:p w:rsidR="00124E98" w:rsidRPr="00993152" w:rsidRDefault="00124E98" w:rsidP="00521390">
      <w:pPr>
        <w:jc w:val="both"/>
      </w:pPr>
      <w:r w:rsidRPr="00993152">
        <w:t>Die Entscheidung und der Grund für oder gegen ein</w:t>
      </w:r>
      <w:r w:rsidR="003905EB" w:rsidRPr="00993152">
        <w:t xml:space="preserve">e </w:t>
      </w:r>
      <w:r w:rsidR="003905EB" w:rsidRPr="00993152">
        <w:rPr>
          <w:b/>
        </w:rPr>
        <w:t>dingliche Sicherung</w:t>
      </w:r>
      <w:r w:rsidR="003905EB" w:rsidRPr="00993152">
        <w:t xml:space="preserve"> des Darlehens</w:t>
      </w:r>
      <w:r w:rsidRPr="00993152">
        <w:t xml:space="preserve"> sind aktenkundig zu machen. </w:t>
      </w:r>
    </w:p>
    <w:p w:rsidR="00A02D60" w:rsidRDefault="00A02D60" w:rsidP="00521390">
      <w:pPr>
        <w:jc w:val="both"/>
      </w:pPr>
    </w:p>
    <w:p w:rsidR="001D2AF9" w:rsidRPr="00993152" w:rsidRDefault="001D2AF9" w:rsidP="00521390">
      <w:pPr>
        <w:jc w:val="both"/>
      </w:pPr>
    </w:p>
    <w:p w:rsidR="00A02D60" w:rsidRPr="00993152" w:rsidRDefault="00A02D60" w:rsidP="00521390">
      <w:pPr>
        <w:jc w:val="both"/>
      </w:pPr>
    </w:p>
    <w:p w:rsidR="00B3697D" w:rsidRPr="00993152" w:rsidRDefault="004621A5" w:rsidP="005660C2">
      <w:pPr>
        <w:jc w:val="both"/>
        <w:outlineLvl w:val="0"/>
        <w:rPr>
          <w:b/>
          <w:sz w:val="24"/>
          <w:szCs w:val="24"/>
        </w:rPr>
      </w:pPr>
      <w:r w:rsidRPr="005C6E12">
        <w:rPr>
          <w:b/>
          <w:color w:val="00B050"/>
          <w:sz w:val="24"/>
          <w:szCs w:val="24"/>
        </w:rPr>
        <w:t>3.</w:t>
      </w:r>
      <w:r w:rsidRPr="00993152">
        <w:rPr>
          <w:b/>
          <w:sz w:val="24"/>
          <w:szCs w:val="24"/>
        </w:rPr>
        <w:t xml:space="preserve"> </w:t>
      </w:r>
      <w:r w:rsidRPr="00A9499A">
        <w:rPr>
          <w:b/>
          <w:color w:val="00B050"/>
          <w:sz w:val="24"/>
          <w:szCs w:val="24"/>
        </w:rPr>
        <w:t>Rückzahlungen und Guthaben (§ 22 Abs. 3 SGB II)</w:t>
      </w:r>
    </w:p>
    <w:p w:rsidR="00B3697D" w:rsidRPr="00993152" w:rsidRDefault="00B3697D" w:rsidP="00521390">
      <w:pPr>
        <w:jc w:val="both"/>
        <w:rPr>
          <w:sz w:val="24"/>
          <w:szCs w:val="24"/>
        </w:rPr>
      </w:pPr>
    </w:p>
    <w:p w:rsidR="00D35D70" w:rsidRPr="00993152" w:rsidRDefault="00D35D70" w:rsidP="00D35D70">
      <w:pPr>
        <w:jc w:val="both"/>
        <w:rPr>
          <w:rFonts w:cs="Arial"/>
        </w:rPr>
      </w:pPr>
    </w:p>
    <w:p w:rsidR="00D35D70" w:rsidRDefault="00D35D70" w:rsidP="00D35D70">
      <w:pPr>
        <w:jc w:val="both"/>
        <w:rPr>
          <w:rFonts w:cs="Arial"/>
        </w:rPr>
      </w:pPr>
      <w:r w:rsidRPr="00993152">
        <w:rPr>
          <w:rFonts w:cs="Arial"/>
        </w:rPr>
        <w:t>Rückzahlungen und Guthaben aus einer Nebenkostenabrechnung mindern im Folgemonat des Zuflusses die KdU.</w:t>
      </w:r>
    </w:p>
    <w:p w:rsidR="00D35D70" w:rsidRDefault="00D35D70" w:rsidP="00D35D70">
      <w:pPr>
        <w:jc w:val="both"/>
        <w:rPr>
          <w:rFonts w:cs="Arial"/>
        </w:rPr>
      </w:pPr>
    </w:p>
    <w:p w:rsidR="00A9499A" w:rsidRDefault="00A9499A" w:rsidP="00D35D70">
      <w:pPr>
        <w:jc w:val="both"/>
        <w:rPr>
          <w:rFonts w:cs="Arial"/>
          <w:color w:val="00B050"/>
        </w:rPr>
      </w:pPr>
      <w:r w:rsidRPr="00A9499A">
        <w:rPr>
          <w:rFonts w:cs="Arial"/>
          <w:color w:val="00B050"/>
        </w:rPr>
        <w:t>Rückzahlungen, die sich auf die Kosten für Haushaltsenergie oder für nicht anerkannte Aufwendungen für KdU beziehen bleiben außer Betracht</w:t>
      </w:r>
      <w:r w:rsidR="005C6E12">
        <w:rPr>
          <w:rFonts w:cs="Arial"/>
          <w:color w:val="00B050"/>
        </w:rPr>
        <w:t xml:space="preserve"> (vgl. Schreiben StMAS Bayern vom </w:t>
      </w:r>
      <w:r w:rsidR="0012351F">
        <w:rPr>
          <w:rFonts w:cs="Arial"/>
          <w:color w:val="00B050"/>
        </w:rPr>
        <w:t>25</w:t>
      </w:r>
      <w:r w:rsidR="005C6E12">
        <w:rPr>
          <w:rFonts w:cs="Arial"/>
          <w:color w:val="00B050"/>
        </w:rPr>
        <w:t>.07.2016, AZ. I3/6074.-1/314)</w:t>
      </w:r>
      <w:r w:rsidRPr="00A9499A">
        <w:rPr>
          <w:rFonts w:cs="Arial"/>
          <w:color w:val="00B050"/>
        </w:rPr>
        <w:t>.</w:t>
      </w:r>
    </w:p>
    <w:p w:rsidR="005C6E12" w:rsidRDefault="005C6E12" w:rsidP="00D35D70">
      <w:pPr>
        <w:jc w:val="both"/>
        <w:rPr>
          <w:rFonts w:cs="Arial"/>
          <w:color w:val="00B050"/>
        </w:rPr>
      </w:pPr>
    </w:p>
    <w:p w:rsidR="00A9499A" w:rsidRDefault="00A9499A" w:rsidP="00D35D70">
      <w:pPr>
        <w:jc w:val="both"/>
        <w:rPr>
          <w:rFonts w:cs="Arial"/>
          <w:color w:val="00B050"/>
        </w:rPr>
      </w:pPr>
      <w:r>
        <w:rPr>
          <w:rFonts w:cs="Arial"/>
          <w:color w:val="00B050"/>
        </w:rPr>
        <w:t xml:space="preserve">Beispiel: LB muss tatsächlich 500 EUR </w:t>
      </w:r>
      <w:r w:rsidR="005C6E12">
        <w:rPr>
          <w:rFonts w:cs="Arial"/>
          <w:color w:val="00B050"/>
        </w:rPr>
        <w:t xml:space="preserve">mtl. </w:t>
      </w:r>
      <w:r>
        <w:rPr>
          <w:rFonts w:cs="Arial"/>
          <w:color w:val="00B050"/>
        </w:rPr>
        <w:t>KdU bezahlen.</w:t>
      </w:r>
    </w:p>
    <w:p w:rsidR="00A9499A" w:rsidRDefault="00A9499A" w:rsidP="00D35D70">
      <w:pPr>
        <w:jc w:val="both"/>
        <w:rPr>
          <w:rFonts w:cs="Arial"/>
          <w:color w:val="00B050"/>
        </w:rPr>
      </w:pPr>
      <w:r>
        <w:rPr>
          <w:rFonts w:cs="Arial"/>
          <w:color w:val="00B050"/>
        </w:rPr>
        <w:t xml:space="preserve">               Anerkannt, weil nur angemessen, werden vom JC aber nur 450 EUR.</w:t>
      </w:r>
    </w:p>
    <w:p w:rsidR="00A9499A" w:rsidRDefault="00A9499A" w:rsidP="00D35D70">
      <w:pPr>
        <w:jc w:val="both"/>
        <w:rPr>
          <w:rFonts w:cs="Arial"/>
          <w:color w:val="00B050"/>
        </w:rPr>
      </w:pPr>
      <w:r>
        <w:rPr>
          <w:rFonts w:cs="Arial"/>
          <w:color w:val="00B050"/>
        </w:rPr>
        <w:t xml:space="preserve">               Bei Nebenkostenjahresabrechnung erhält er 150 EUR erstattet.</w:t>
      </w:r>
    </w:p>
    <w:p w:rsidR="00A9499A" w:rsidRDefault="00A9499A" w:rsidP="00D35D70">
      <w:pPr>
        <w:jc w:val="both"/>
        <w:rPr>
          <w:rFonts w:cs="Arial"/>
          <w:color w:val="00B050"/>
        </w:rPr>
      </w:pPr>
      <w:r>
        <w:rPr>
          <w:rFonts w:cs="Arial"/>
          <w:color w:val="00B050"/>
        </w:rPr>
        <w:t xml:space="preserve">               LB hat insgesamt 12x50 EUR = 600 EUR aus Eigenmittel gezahlt.</w:t>
      </w:r>
    </w:p>
    <w:p w:rsidR="00A9499A" w:rsidRDefault="00A9499A" w:rsidP="00D35D70">
      <w:pPr>
        <w:jc w:val="both"/>
        <w:rPr>
          <w:rFonts w:cs="Arial"/>
          <w:color w:val="00B050"/>
        </w:rPr>
      </w:pPr>
      <w:r>
        <w:rPr>
          <w:rFonts w:cs="Arial"/>
          <w:color w:val="00B050"/>
        </w:rPr>
        <w:t xml:space="preserve">               Die Rückzahlung (NK-Erstattung) bleibt deshalb außer Betracht.</w:t>
      </w:r>
    </w:p>
    <w:p w:rsidR="00A9499A" w:rsidRPr="00A9499A" w:rsidRDefault="00A9499A" w:rsidP="00D35D70">
      <w:pPr>
        <w:jc w:val="both"/>
        <w:rPr>
          <w:rFonts w:cs="Arial"/>
          <w:color w:val="00B050"/>
        </w:rPr>
      </w:pPr>
      <w:r>
        <w:rPr>
          <w:rFonts w:cs="Arial"/>
          <w:color w:val="00B050"/>
        </w:rPr>
        <w:t xml:space="preserve">                 </w:t>
      </w:r>
    </w:p>
    <w:p w:rsidR="00D35D70" w:rsidRPr="00993152" w:rsidRDefault="00D35D70" w:rsidP="00D35D70">
      <w:pPr>
        <w:jc w:val="both"/>
        <w:rPr>
          <w:rFonts w:cs="Arial"/>
        </w:rPr>
      </w:pPr>
      <w:r w:rsidRPr="00993152">
        <w:rPr>
          <w:rFonts w:cs="Arial"/>
        </w:rPr>
        <w:t>Es ist unerheblich wer die Nebenkostenabschläge gezahlt hat (Leistungsberechtigter oder Personen außerhalb der BG) und ob die Guthaben aus Zeiten stammen, in denen keine Hilfebedürftigkeit bestand (vgl. BSG 22.03.2012 – B 4 AS 139/11 R-).</w:t>
      </w:r>
    </w:p>
    <w:p w:rsidR="00D35D70" w:rsidRPr="00993152" w:rsidRDefault="00D35D70" w:rsidP="00D35D70">
      <w:pPr>
        <w:jc w:val="both"/>
        <w:rPr>
          <w:rFonts w:cs="Arial"/>
        </w:rPr>
      </w:pPr>
    </w:p>
    <w:p w:rsidR="00D35D70" w:rsidRDefault="00D35D70" w:rsidP="00D35D70">
      <w:pPr>
        <w:jc w:val="both"/>
        <w:rPr>
          <w:rFonts w:cs="Arial"/>
        </w:rPr>
      </w:pPr>
      <w:r w:rsidRPr="00993152">
        <w:rPr>
          <w:rFonts w:cs="Arial"/>
        </w:rPr>
        <w:t>Das von den Vermietern in der Abrechnung ausgewiesene Guthaben steht im Zeitpunkt seiner Gutschrift einem Einkommenszufluss gleich, der modifiziert durch die Regelung des § 22 Abs. 3 SGB II bei den KdU im danach folgenden Monat zu berücksichtigen ist. § 22 Abs. 3 SGB II ist damit eine Spezialvorschrift in Bezug auf die Anrechnung von Einkommen aus Rückzahlungen und Guthaben.</w:t>
      </w:r>
    </w:p>
    <w:p w:rsidR="0014608F" w:rsidRDefault="0014608F" w:rsidP="00D35D70">
      <w:pPr>
        <w:jc w:val="both"/>
        <w:rPr>
          <w:rFonts w:cs="Arial"/>
        </w:rPr>
      </w:pPr>
    </w:p>
    <w:p w:rsidR="0014608F" w:rsidRPr="009429CA" w:rsidRDefault="0014608F" w:rsidP="009429CA">
      <w:pPr>
        <w:pStyle w:val="textbody"/>
        <w:numPr>
          <w:ilvl w:val="0"/>
          <w:numId w:val="34"/>
        </w:numPr>
        <w:spacing w:before="0" w:beforeAutospacing="0" w:after="120" w:afterAutospacing="0"/>
        <w:rPr>
          <w:rFonts w:ascii="Arial" w:hAnsi="Arial" w:cs="Arial"/>
          <w:sz w:val="22"/>
          <w:szCs w:val="22"/>
        </w:rPr>
      </w:pPr>
      <w:r w:rsidRPr="009429CA">
        <w:rPr>
          <w:rFonts w:ascii="Arial" w:hAnsi="Arial" w:cs="Arial"/>
          <w:bCs/>
          <w:sz w:val="22"/>
          <w:szCs w:val="22"/>
        </w:rPr>
        <w:t>Übersteigt das Guthaben oder die Rückzahlung die unterkunftsbezogenen Aufwendungen des Folgemonats, kann der nicht durch Bedarfsminderung verbrauchte Teil mit den Aufwendungen in den Folgemonaten verrechnet werden (Berlit in LPK-SG</w:t>
      </w:r>
      <w:r w:rsidR="003B7496" w:rsidRPr="009429CA">
        <w:rPr>
          <w:rFonts w:ascii="Arial" w:hAnsi="Arial" w:cs="Arial"/>
          <w:bCs/>
          <w:sz w:val="22"/>
          <w:szCs w:val="22"/>
        </w:rPr>
        <w:t>B</w:t>
      </w:r>
      <w:r w:rsidRPr="009429CA">
        <w:rPr>
          <w:rFonts w:ascii="Arial" w:hAnsi="Arial" w:cs="Arial"/>
          <w:bCs/>
          <w:sz w:val="22"/>
          <w:szCs w:val="22"/>
        </w:rPr>
        <w:t xml:space="preserve"> II, 4.Auflage 2011, § 22 RdNr. 114</w:t>
      </w:r>
      <w:r w:rsidR="009429CA" w:rsidRPr="009429CA">
        <w:rPr>
          <w:rFonts w:ascii="Arial" w:hAnsi="Arial" w:cs="Arial"/>
          <w:bCs/>
          <w:sz w:val="22"/>
          <w:szCs w:val="22"/>
        </w:rPr>
        <w:t xml:space="preserve"> und auch</w:t>
      </w:r>
      <w:r w:rsidR="009429CA" w:rsidRPr="009429CA">
        <w:rPr>
          <w:rFonts w:ascii="Arial" w:hAnsi="Arial" w:cs="Arial"/>
          <w:b/>
          <w:bCs/>
          <w:sz w:val="22"/>
          <w:szCs w:val="22"/>
        </w:rPr>
        <w:t xml:space="preserve"> </w:t>
      </w:r>
      <w:r w:rsidR="009429CA" w:rsidRPr="009429CA">
        <w:rPr>
          <w:rFonts w:ascii="Arial" w:hAnsi="Arial" w:cs="Arial"/>
          <w:bCs/>
          <w:color w:val="00B050"/>
          <w:sz w:val="22"/>
          <w:szCs w:val="22"/>
        </w:rPr>
        <w:t>Bay LSG, 02.09.2016 - L 16 AS 144/16 NZB</w:t>
      </w:r>
      <w:r w:rsidR="009429CA">
        <w:rPr>
          <w:rFonts w:ascii="Arial" w:hAnsi="Arial" w:cs="Arial"/>
          <w:bCs/>
          <w:color w:val="00B050"/>
          <w:sz w:val="22"/>
          <w:szCs w:val="22"/>
        </w:rPr>
        <w:t>-</w:t>
      </w:r>
      <w:r w:rsidR="009429CA" w:rsidRPr="009429CA">
        <w:rPr>
          <w:rFonts w:ascii="Arial" w:hAnsi="Arial" w:cs="Arial"/>
          <w:bCs/>
          <w:color w:val="00B050"/>
          <w:sz w:val="22"/>
          <w:szCs w:val="22"/>
        </w:rPr>
        <w:t xml:space="preserve">). </w:t>
      </w:r>
      <w:r w:rsidR="009429CA" w:rsidRPr="009429CA">
        <w:rPr>
          <w:rFonts w:ascii="Arial" w:hAnsi="Arial" w:cs="Arial"/>
          <w:bCs/>
          <w:color w:val="00B050"/>
          <w:sz w:val="22"/>
          <w:szCs w:val="22"/>
        </w:rPr>
        <w:br/>
      </w:r>
    </w:p>
    <w:p w:rsidR="004833F4" w:rsidRPr="00993152" w:rsidRDefault="004833F4" w:rsidP="00D35D70">
      <w:pPr>
        <w:jc w:val="both"/>
        <w:rPr>
          <w:rFonts w:cs="Arial"/>
        </w:rPr>
      </w:pPr>
    </w:p>
    <w:p w:rsidR="004833F4" w:rsidRPr="00993152" w:rsidRDefault="004833F4" w:rsidP="00D35D70">
      <w:pPr>
        <w:jc w:val="both"/>
        <w:rPr>
          <w:rFonts w:cs="Arial"/>
        </w:rPr>
      </w:pPr>
      <w:r w:rsidRPr="00993152">
        <w:rPr>
          <w:rFonts w:cs="Arial"/>
        </w:rPr>
        <w:t>Eine Aufhebung auch nach dem Folgemonat des Zuflusses ist daher  gem. § 48 Abs. 1 Satz 2 Nr. 3 SGB X möglich.</w:t>
      </w:r>
    </w:p>
    <w:p w:rsidR="00D35D70" w:rsidRDefault="00D35D70" w:rsidP="00D35D70">
      <w:pPr>
        <w:jc w:val="both"/>
        <w:rPr>
          <w:rFonts w:cs="Arial"/>
        </w:rPr>
      </w:pPr>
    </w:p>
    <w:p w:rsidR="003E315D" w:rsidRPr="00993152" w:rsidRDefault="003E315D" w:rsidP="00D35D70">
      <w:pPr>
        <w:jc w:val="both"/>
        <w:rPr>
          <w:rFonts w:cs="Arial"/>
        </w:rPr>
      </w:pPr>
    </w:p>
    <w:p w:rsidR="00D35D70" w:rsidRDefault="00D35D70" w:rsidP="00D35D70">
      <w:pPr>
        <w:jc w:val="both"/>
        <w:rPr>
          <w:rFonts w:cs="Arial"/>
        </w:rPr>
      </w:pPr>
      <w:r w:rsidRPr="00993152">
        <w:rPr>
          <w:rFonts w:cs="Arial"/>
        </w:rPr>
        <w:lastRenderedPageBreak/>
        <w:t>Eine Bereinigung des Einkommens nach § 11 Abs. 2 SGB II ist hingegen wegen der in § 22 Abs. 3 SGB II vorgenommenen ausdrücklichen gesetzlichen Zuordnung zu den KdU nicht vorzunehmen, sondern in voller Höhe zu berücksichtigen.</w:t>
      </w:r>
    </w:p>
    <w:p w:rsidR="002C2AB2" w:rsidRDefault="002C2AB2" w:rsidP="00D35D70">
      <w:pPr>
        <w:jc w:val="both"/>
        <w:rPr>
          <w:rFonts w:cs="Arial"/>
        </w:rPr>
      </w:pPr>
    </w:p>
    <w:p w:rsidR="003F4332" w:rsidRPr="00993152" w:rsidRDefault="003F4332" w:rsidP="003F4332">
      <w:pPr>
        <w:autoSpaceDE w:val="0"/>
        <w:autoSpaceDN w:val="0"/>
        <w:adjustRightInd w:val="0"/>
        <w:jc w:val="both"/>
        <w:rPr>
          <w:rFonts w:cs="Arial"/>
        </w:rPr>
      </w:pPr>
      <w:r w:rsidRPr="00993152">
        <w:rPr>
          <w:rFonts w:cs="Arial"/>
        </w:rPr>
        <w:t xml:space="preserve">Betriebskostenguthaben kann auch dann Einkommen sein, wenn es vom Vermieter wegen ausstehender Mietrückstände verrechnet worden ist. </w:t>
      </w:r>
      <w:r w:rsidRPr="00993152">
        <w:rPr>
          <w:rFonts w:cs="Arial"/>
        </w:rPr>
        <w:br/>
        <w:t xml:space="preserve">Weil hiermit eine Schuldbefreiung oder Verringerung anderweitiger </w:t>
      </w:r>
    </w:p>
    <w:p w:rsidR="003F4332" w:rsidRPr="00993152" w:rsidRDefault="003F4332" w:rsidP="003F4332">
      <w:pPr>
        <w:autoSpaceDE w:val="0"/>
        <w:autoSpaceDN w:val="0"/>
        <w:adjustRightInd w:val="0"/>
        <w:jc w:val="both"/>
        <w:rPr>
          <w:rFonts w:cs="Arial"/>
        </w:rPr>
      </w:pPr>
      <w:r w:rsidRPr="00993152">
        <w:rPr>
          <w:rFonts w:cs="Arial"/>
        </w:rPr>
        <w:t xml:space="preserve">Verbindlichkeiten, d.h. ein wertmäßiger Zuwachs des Vermögensstandes, verbunden ist. </w:t>
      </w:r>
      <w:r w:rsidRPr="00993152">
        <w:rPr>
          <w:rFonts w:cs="Arial"/>
        </w:rPr>
        <w:br/>
        <w:t xml:space="preserve">Dieses Einkommen kann auch nicht allein deshalb außer Betracht bleiben, weil das Guthaben zu keinem Zeitpunkt in der tatsächlichen Verfügungsgewalt der Kläger gestanden hat. </w:t>
      </w:r>
      <w:r w:rsidRPr="00993152">
        <w:rPr>
          <w:rFonts w:cs="Arial"/>
        </w:rPr>
        <w:br/>
      </w:r>
      <w:r w:rsidRPr="00993152">
        <w:rPr>
          <w:rFonts w:cs="Arial"/>
        </w:rPr>
        <w:br/>
        <w:t xml:space="preserve">Zu prüfen ist vielmehr, ob der Leistungsberechtigte dieses Einkommen auch aus Rechtsgründen überhaupt nicht oder nicht ohne </w:t>
      </w:r>
      <w:r w:rsidR="00465A2B" w:rsidRPr="00993152">
        <w:rPr>
          <w:rFonts w:cs="Arial"/>
        </w:rPr>
        <w:t>weiteres</w:t>
      </w:r>
      <w:r w:rsidRPr="00993152">
        <w:rPr>
          <w:rFonts w:cs="Arial"/>
        </w:rPr>
        <w:t xml:space="preserve"> hätte realisieren können</w:t>
      </w:r>
      <w:r w:rsidR="004D0580" w:rsidRPr="00993152">
        <w:rPr>
          <w:rFonts w:cs="Arial"/>
        </w:rPr>
        <w:t>.</w:t>
      </w:r>
      <w:r w:rsidRPr="00993152">
        <w:rPr>
          <w:rFonts w:cs="Arial"/>
        </w:rPr>
        <w:t xml:space="preserve"> </w:t>
      </w:r>
      <w:r w:rsidRPr="00993152">
        <w:rPr>
          <w:rFonts w:cs="Arial"/>
        </w:rPr>
        <w:br/>
        <w:t>Nur dann stehen bereite Mittel nicht zur Verfügung und rechtfertigt - trotz denkbarer Mietschuldentilgung - der Bedarfsdeckungsgrundsatz die Nichtberücksichtigung des Guthabens bei dem Leistungsanspruch (vgl. BSG, 16.05.2012 -B 4 AS 132/11 R-).</w:t>
      </w:r>
    </w:p>
    <w:p w:rsidR="008F1074" w:rsidRPr="00993152" w:rsidRDefault="008F1074" w:rsidP="00D35D70">
      <w:pPr>
        <w:jc w:val="both"/>
        <w:rPr>
          <w:rFonts w:cs="Arial"/>
        </w:rPr>
      </w:pPr>
    </w:p>
    <w:p w:rsidR="004621A5" w:rsidRPr="00993152" w:rsidRDefault="00B3697D" w:rsidP="00521390">
      <w:pPr>
        <w:jc w:val="both"/>
      </w:pPr>
      <w:r w:rsidRPr="00993152">
        <w:t xml:space="preserve">Rückzahlungen aus einer </w:t>
      </w:r>
      <w:r w:rsidRPr="00993152">
        <w:rPr>
          <w:b/>
        </w:rPr>
        <w:t>Strom(jahres)abrechnung</w:t>
      </w:r>
      <w:r w:rsidRPr="00993152">
        <w:t xml:space="preserve"> vermindern jedoch </w:t>
      </w:r>
      <w:r w:rsidRPr="00993152">
        <w:rPr>
          <w:b/>
        </w:rPr>
        <w:t xml:space="preserve">nicht </w:t>
      </w:r>
      <w:r w:rsidRPr="00993152">
        <w:t xml:space="preserve">die KdU, </w:t>
      </w:r>
      <w:r w:rsidR="00247697" w:rsidRPr="00993152">
        <w:t xml:space="preserve">und </w:t>
      </w:r>
      <w:r w:rsidRPr="00993152">
        <w:t xml:space="preserve"> sind </w:t>
      </w:r>
      <w:r w:rsidR="00247697" w:rsidRPr="00993152">
        <w:t xml:space="preserve">auch </w:t>
      </w:r>
      <w:r w:rsidR="00247697" w:rsidRPr="00993152">
        <w:rPr>
          <w:b/>
        </w:rPr>
        <w:t>nicht</w:t>
      </w:r>
      <w:r w:rsidR="00247697" w:rsidRPr="00993152">
        <w:t xml:space="preserve"> </w:t>
      </w:r>
      <w:r w:rsidRPr="00993152">
        <w:t xml:space="preserve">im Zuflussmonat  als </w:t>
      </w:r>
      <w:r w:rsidRPr="00993152">
        <w:rPr>
          <w:b/>
        </w:rPr>
        <w:t>Einkommen</w:t>
      </w:r>
      <w:r w:rsidRPr="00993152">
        <w:t xml:space="preserve"> zu berücksichtigen, soweit </w:t>
      </w:r>
      <w:r w:rsidR="00247697" w:rsidRPr="00993152">
        <w:t>die Rückzahlung der Stromkosten auf Vorauszahlungen in Zeiträumen beruht, in denen Hilfebedürftigkeit bestand</w:t>
      </w:r>
      <w:r w:rsidRPr="00993152">
        <w:t xml:space="preserve"> (vgl. </w:t>
      </w:r>
      <w:r w:rsidR="00247697" w:rsidRPr="00993152">
        <w:t>BSG 23.08.2011 - B 14 AS 185/10 R -</w:t>
      </w:r>
      <w:r w:rsidRPr="00993152">
        <w:t>).</w:t>
      </w:r>
    </w:p>
    <w:p w:rsidR="00E4409A" w:rsidRPr="00993152" w:rsidRDefault="00E4409A" w:rsidP="00521390">
      <w:pPr>
        <w:jc w:val="both"/>
      </w:pPr>
    </w:p>
    <w:p w:rsidR="00521390" w:rsidRPr="00993152" w:rsidRDefault="00521390" w:rsidP="00521390">
      <w:pPr>
        <w:jc w:val="both"/>
      </w:pPr>
    </w:p>
    <w:p w:rsidR="00E4409A" w:rsidRPr="00993152" w:rsidRDefault="00E4409A" w:rsidP="005660C2">
      <w:pPr>
        <w:jc w:val="both"/>
        <w:outlineLvl w:val="0"/>
        <w:rPr>
          <w:b/>
          <w:sz w:val="24"/>
          <w:szCs w:val="24"/>
        </w:rPr>
      </w:pPr>
      <w:r w:rsidRPr="00BC37FB">
        <w:rPr>
          <w:b/>
          <w:color w:val="00B050"/>
          <w:sz w:val="24"/>
          <w:szCs w:val="24"/>
        </w:rPr>
        <w:t>4.</w:t>
      </w:r>
      <w:r w:rsidRPr="00993152">
        <w:rPr>
          <w:b/>
          <w:sz w:val="24"/>
          <w:szCs w:val="24"/>
        </w:rPr>
        <w:t xml:space="preserve"> </w:t>
      </w:r>
      <w:r w:rsidR="00040ED7" w:rsidRPr="00993152">
        <w:rPr>
          <w:b/>
          <w:sz w:val="24"/>
          <w:szCs w:val="24"/>
        </w:rPr>
        <w:t xml:space="preserve"> </w:t>
      </w:r>
      <w:r w:rsidR="00040ED7" w:rsidRPr="00BC37FB">
        <w:rPr>
          <w:b/>
          <w:color w:val="00B050"/>
          <w:sz w:val="24"/>
          <w:szCs w:val="24"/>
        </w:rPr>
        <w:t>Zusicherung zur Übernahme der KdU bei Umzug</w:t>
      </w:r>
      <w:r w:rsidR="00855A02" w:rsidRPr="00BC37FB">
        <w:rPr>
          <w:b/>
          <w:color w:val="00B050"/>
          <w:sz w:val="24"/>
          <w:szCs w:val="24"/>
        </w:rPr>
        <w:t xml:space="preserve"> (§ 22 Abs. 4 SGB II)</w:t>
      </w:r>
    </w:p>
    <w:p w:rsidR="00BD00A6" w:rsidRPr="00993152" w:rsidRDefault="00BD00A6" w:rsidP="00521390">
      <w:pPr>
        <w:jc w:val="both"/>
        <w:rPr>
          <w:b/>
          <w:sz w:val="24"/>
          <w:szCs w:val="24"/>
        </w:rPr>
      </w:pPr>
    </w:p>
    <w:p w:rsidR="003D4226" w:rsidRPr="00993152" w:rsidRDefault="003D4226" w:rsidP="00521390">
      <w:pPr>
        <w:jc w:val="both"/>
      </w:pPr>
    </w:p>
    <w:p w:rsidR="00BD00A6" w:rsidRPr="00BC37FB" w:rsidRDefault="00BD00A6" w:rsidP="00521390">
      <w:pPr>
        <w:jc w:val="both"/>
        <w:rPr>
          <w:color w:val="00B050"/>
        </w:rPr>
      </w:pPr>
      <w:r w:rsidRPr="00BC37FB">
        <w:rPr>
          <w:color w:val="00B050"/>
        </w:rPr>
        <w:t>Das Jobcenter ist zur Zusicherung verpflichtet, wenn d</w:t>
      </w:r>
      <w:r w:rsidR="00BC37FB" w:rsidRPr="00BC37FB">
        <w:rPr>
          <w:color w:val="00B050"/>
        </w:rPr>
        <w:t>ie Aufwendungen für die neue Unterkunft angemessen sind.</w:t>
      </w:r>
      <w:r w:rsidR="0005764A">
        <w:rPr>
          <w:color w:val="00B050"/>
        </w:rPr>
        <w:t xml:space="preserve"> Die Voraussetzung der Verpflichtung zur Zusicherung, dass der Umzug erforderlich sein muss, ist ab 01.08.2016  entfallen.</w:t>
      </w:r>
    </w:p>
    <w:p w:rsidR="007B3A33" w:rsidRPr="00993152" w:rsidRDefault="007B3A33" w:rsidP="00521390">
      <w:pPr>
        <w:jc w:val="both"/>
      </w:pPr>
    </w:p>
    <w:p w:rsidR="00BD00A6" w:rsidRPr="00993152" w:rsidRDefault="00BD00A6" w:rsidP="00521390">
      <w:pPr>
        <w:jc w:val="both"/>
      </w:pPr>
      <w:r w:rsidRPr="00993152">
        <w:t xml:space="preserve">Die </w:t>
      </w:r>
      <w:r w:rsidRPr="00993152">
        <w:rPr>
          <w:b/>
        </w:rPr>
        <w:t>Angemessenheit</w:t>
      </w:r>
      <w:r w:rsidRPr="00993152">
        <w:t xml:space="preserve"> richtet sich nach den Verhältnissen am Zuzugsort.</w:t>
      </w:r>
    </w:p>
    <w:p w:rsidR="00BD00A6" w:rsidRPr="00993152" w:rsidRDefault="00BD00A6" w:rsidP="00521390">
      <w:pPr>
        <w:jc w:val="both"/>
      </w:pPr>
    </w:p>
    <w:p w:rsidR="0005764A" w:rsidRDefault="00BD00A6" w:rsidP="00521390">
      <w:pPr>
        <w:jc w:val="both"/>
        <w:rPr>
          <w:color w:val="00B050"/>
        </w:rPr>
      </w:pPr>
      <w:r w:rsidRPr="00BC37FB">
        <w:rPr>
          <w:b/>
          <w:color w:val="00B050"/>
        </w:rPr>
        <w:t>Zuständig</w:t>
      </w:r>
      <w:r w:rsidRPr="00BC37FB">
        <w:rPr>
          <w:color w:val="00B050"/>
        </w:rPr>
        <w:t xml:space="preserve"> für die Zusicherung ist</w:t>
      </w:r>
      <w:r w:rsidR="00BC37FB">
        <w:rPr>
          <w:color w:val="00B050"/>
        </w:rPr>
        <w:t xml:space="preserve"> seit 01.08.2016 der für die neue Unterkunft örtlich zuständige kommunale Träger.</w:t>
      </w:r>
      <w:r w:rsidRPr="00BC37FB">
        <w:rPr>
          <w:color w:val="00B050"/>
        </w:rPr>
        <w:t xml:space="preserve"> </w:t>
      </w:r>
      <w:r w:rsidR="00BC37FB">
        <w:rPr>
          <w:color w:val="00B050"/>
        </w:rPr>
        <w:t>D</w:t>
      </w:r>
      <w:r w:rsidRPr="00BC37FB">
        <w:rPr>
          <w:color w:val="00B050"/>
        </w:rPr>
        <w:t>as Jobcenter Passau Land</w:t>
      </w:r>
      <w:r w:rsidR="00BC37FB">
        <w:rPr>
          <w:color w:val="00B050"/>
        </w:rPr>
        <w:t xml:space="preserve"> ist daher zuständig</w:t>
      </w:r>
      <w:r w:rsidRPr="00BC37FB">
        <w:rPr>
          <w:color w:val="00B050"/>
        </w:rPr>
        <w:t xml:space="preserve">, wenn LB </w:t>
      </w:r>
      <w:r w:rsidR="00BC37FB" w:rsidRPr="00BC37FB">
        <w:rPr>
          <w:b/>
          <w:color w:val="00B050"/>
          <w:u w:val="single"/>
        </w:rPr>
        <w:t>in</w:t>
      </w:r>
      <w:r w:rsidR="00BC37FB" w:rsidRPr="00BC37FB">
        <w:rPr>
          <w:color w:val="00B050"/>
        </w:rPr>
        <w:t xml:space="preserve"> den </w:t>
      </w:r>
      <w:r w:rsidRPr="00BC37FB">
        <w:rPr>
          <w:color w:val="00B050"/>
        </w:rPr>
        <w:t xml:space="preserve">Landkreis Passau ziehen. </w:t>
      </w:r>
      <w:r w:rsidR="00BC37FB">
        <w:rPr>
          <w:color w:val="00B050"/>
        </w:rPr>
        <w:t xml:space="preserve"> Vor Abschluss eines Mietvertrages sollen die LB die Zusicherung  einholen. </w:t>
      </w:r>
    </w:p>
    <w:p w:rsidR="00BC37FB" w:rsidRDefault="00BC37FB" w:rsidP="00521390">
      <w:pPr>
        <w:jc w:val="both"/>
        <w:rPr>
          <w:color w:val="00B050"/>
        </w:rPr>
      </w:pPr>
      <w:r>
        <w:rPr>
          <w:color w:val="00B050"/>
        </w:rPr>
        <w:t xml:space="preserve">Auch wenn keine Zusicherung vom LB eingeholt wird und er </w:t>
      </w:r>
      <w:r w:rsidRPr="0005764A">
        <w:rPr>
          <w:b/>
          <w:color w:val="00B050"/>
          <w:u w:val="single"/>
        </w:rPr>
        <w:t>in den</w:t>
      </w:r>
      <w:r>
        <w:rPr>
          <w:color w:val="00B050"/>
        </w:rPr>
        <w:t xml:space="preserve"> Landkreis zieht, müssen zumindest die </w:t>
      </w:r>
      <w:r w:rsidRPr="0005764A">
        <w:rPr>
          <w:color w:val="00B050"/>
          <w:u w:val="single"/>
        </w:rPr>
        <w:t>angemessenen</w:t>
      </w:r>
      <w:r>
        <w:rPr>
          <w:color w:val="00B050"/>
        </w:rPr>
        <w:t xml:space="preserve"> KdU der neuen Wohnung übernommen werden (vgl. BSG 07.11.2006 – B 7 b AS 10/06 R-).</w:t>
      </w:r>
    </w:p>
    <w:p w:rsidR="0005764A" w:rsidRDefault="0005764A" w:rsidP="00521390">
      <w:pPr>
        <w:jc w:val="both"/>
        <w:rPr>
          <w:color w:val="00B050"/>
        </w:rPr>
      </w:pPr>
    </w:p>
    <w:p w:rsidR="0005764A" w:rsidRDefault="0005764A" w:rsidP="0005764A">
      <w:pPr>
        <w:jc w:val="both"/>
        <w:rPr>
          <w:color w:val="00B050"/>
        </w:rPr>
      </w:pPr>
      <w:r>
        <w:rPr>
          <w:color w:val="00B050"/>
        </w:rPr>
        <w:t xml:space="preserve">Ziehen LB </w:t>
      </w:r>
      <w:r w:rsidRPr="0005764A">
        <w:rPr>
          <w:b/>
          <w:color w:val="00B050"/>
          <w:u w:val="single"/>
        </w:rPr>
        <w:t>innerhalb</w:t>
      </w:r>
      <w:r>
        <w:rPr>
          <w:color w:val="00B050"/>
        </w:rPr>
        <w:t xml:space="preserve"> des Landkreises  um und war der Umzug </w:t>
      </w:r>
      <w:r w:rsidRPr="0005764A">
        <w:rPr>
          <w:color w:val="00B050"/>
          <w:u w:val="single"/>
        </w:rPr>
        <w:t>nicht erforderlich</w:t>
      </w:r>
      <w:r>
        <w:rPr>
          <w:color w:val="00B050"/>
        </w:rPr>
        <w:t xml:space="preserve">,  ist  § 22 Abs. 1 Satz </w:t>
      </w:r>
      <w:r w:rsidR="00071232">
        <w:rPr>
          <w:color w:val="00B050"/>
        </w:rPr>
        <w:t>2</w:t>
      </w:r>
      <w:r>
        <w:rPr>
          <w:color w:val="00B050"/>
        </w:rPr>
        <w:t xml:space="preserve"> SGB II zu beachten, da sich hier die fehlende Erforderlichkeit des Umzuges innerhalb des Zuständigkeitsbereichs eines kommunalen Trägers auswirkt und Rechtswirkung entfaltet </w:t>
      </w:r>
      <w:r w:rsidRPr="004C225A">
        <w:rPr>
          <w:color w:val="00B050"/>
        </w:rPr>
        <w:t xml:space="preserve">(vgl. </w:t>
      </w:r>
      <w:r w:rsidRPr="00CD6510">
        <w:rPr>
          <w:rFonts w:cs="Arial"/>
          <w:color w:val="00B050"/>
        </w:rPr>
        <w:t>BTDrs 18/8041 v. 06.04.2016)</w:t>
      </w:r>
      <w:r w:rsidRPr="004C225A">
        <w:rPr>
          <w:rFonts w:ascii="Verdana" w:hAnsi="Verdana"/>
          <w:color w:val="00B050"/>
          <w:sz w:val="19"/>
          <w:szCs w:val="19"/>
        </w:rPr>
        <w:t>.</w:t>
      </w:r>
      <w:r w:rsidRPr="004C225A">
        <w:rPr>
          <w:color w:val="00B050"/>
        </w:rPr>
        <w:t xml:space="preserve"> </w:t>
      </w:r>
    </w:p>
    <w:p w:rsidR="0005764A" w:rsidRDefault="0005764A" w:rsidP="0005764A">
      <w:pPr>
        <w:jc w:val="both"/>
        <w:rPr>
          <w:color w:val="00B050"/>
        </w:rPr>
      </w:pPr>
    </w:p>
    <w:p w:rsidR="008D73FE" w:rsidRPr="00BC37FB" w:rsidRDefault="00BC37FB" w:rsidP="00521390">
      <w:pPr>
        <w:jc w:val="both"/>
        <w:rPr>
          <w:color w:val="00B050"/>
        </w:rPr>
      </w:pPr>
      <w:r w:rsidRPr="00BC37FB">
        <w:rPr>
          <w:color w:val="00B050"/>
        </w:rPr>
        <w:t>Eine Abstimmung der beiden Träger des Zuzugs- und Wegzugsortes ist nicht mehr erforderlich.</w:t>
      </w:r>
    </w:p>
    <w:p w:rsidR="008D73FE" w:rsidRDefault="008D73FE" w:rsidP="00521390">
      <w:pPr>
        <w:jc w:val="both"/>
      </w:pPr>
    </w:p>
    <w:p w:rsidR="00FB51A2" w:rsidRDefault="00FB51A2" w:rsidP="00521390">
      <w:pPr>
        <w:jc w:val="both"/>
      </w:pPr>
    </w:p>
    <w:p w:rsidR="00FB51A2" w:rsidRDefault="00FB51A2" w:rsidP="00521390">
      <w:pPr>
        <w:jc w:val="both"/>
      </w:pPr>
    </w:p>
    <w:p w:rsidR="00FB51A2" w:rsidRPr="00993152" w:rsidRDefault="00FB51A2" w:rsidP="00521390">
      <w:pPr>
        <w:jc w:val="both"/>
      </w:pPr>
    </w:p>
    <w:p w:rsidR="000F62D8" w:rsidRDefault="000F62D8" w:rsidP="00521390">
      <w:pPr>
        <w:jc w:val="both"/>
      </w:pPr>
    </w:p>
    <w:p w:rsidR="00315AB4" w:rsidRPr="00993152" w:rsidRDefault="004D0128" w:rsidP="0096564D">
      <w:pPr>
        <w:pStyle w:val="berschrift1"/>
        <w:numPr>
          <w:ilvl w:val="0"/>
          <w:numId w:val="0"/>
        </w:numPr>
        <w:ind w:left="360"/>
      </w:pPr>
      <w:r w:rsidRPr="00993152">
        <w:rPr>
          <w:sz w:val="24"/>
          <w:szCs w:val="24"/>
        </w:rPr>
        <w:lastRenderedPageBreak/>
        <w:t>5.</w:t>
      </w:r>
      <w:r w:rsidR="0088155F" w:rsidRPr="00993152">
        <w:t xml:space="preserve"> </w:t>
      </w:r>
      <w:r w:rsidR="0088155F" w:rsidRPr="00993152">
        <w:rPr>
          <w:sz w:val="24"/>
          <w:szCs w:val="24"/>
        </w:rPr>
        <w:t>Allgemeines zu § 22 Abs. 5 SGB II</w:t>
      </w:r>
    </w:p>
    <w:p w:rsidR="00315AB4" w:rsidRPr="00993152" w:rsidRDefault="00315AB4" w:rsidP="00315AB4">
      <w:pPr>
        <w:rPr>
          <w:sz w:val="24"/>
          <w:szCs w:val="24"/>
        </w:rPr>
      </w:pPr>
    </w:p>
    <w:p w:rsidR="00315AB4" w:rsidRPr="00993152" w:rsidRDefault="00315AB4" w:rsidP="003F19E5">
      <w:pPr>
        <w:jc w:val="both"/>
      </w:pPr>
      <w:r w:rsidRPr="00993152">
        <w:t>Durch die Vorschrift soll der kostenträchtige Erstbezug einer eigenen Wohnung durch Personen, die das 25. Lebensjahr noch nicht vollendet haben begrenzt werden. Voraussetzung ist jedoch, dass die jungen Leistungsberechtigten</w:t>
      </w:r>
      <w:r w:rsidR="003F19E5" w:rsidRPr="00993152">
        <w:t xml:space="preserve"> (U 25)</w:t>
      </w:r>
      <w:r w:rsidRPr="00993152">
        <w:t xml:space="preserve"> bisher in einer Bedarfsgemeinschaft Leistungen bezogen haben, oder innerhalb der Haushaltsgemeinschaft keinen eigenen Anspruch hatten (vgl. BT-Dr. 16/688,15).</w:t>
      </w:r>
    </w:p>
    <w:p w:rsidR="00315AB4" w:rsidRPr="00993152" w:rsidRDefault="00315AB4" w:rsidP="003F19E5">
      <w:pPr>
        <w:jc w:val="both"/>
      </w:pPr>
    </w:p>
    <w:p w:rsidR="00315AB4" w:rsidRPr="00993152" w:rsidRDefault="00315AB4" w:rsidP="003F19E5">
      <w:pPr>
        <w:jc w:val="both"/>
        <w:rPr>
          <w:b/>
        </w:rPr>
      </w:pPr>
      <w:r w:rsidRPr="00993152">
        <w:t xml:space="preserve">Demnach ist ein Umzug eines U 25 im Sinne dieser Vorschrift </w:t>
      </w:r>
      <w:r w:rsidRPr="00993152">
        <w:rPr>
          <w:b/>
        </w:rPr>
        <w:t>nicht zustimmungsbedürftig wenn:</w:t>
      </w:r>
    </w:p>
    <w:p w:rsidR="004D0128" w:rsidRPr="00993152" w:rsidRDefault="00315AB4" w:rsidP="00E5033E">
      <w:pPr>
        <w:pStyle w:val="Listenabsatz"/>
        <w:numPr>
          <w:ilvl w:val="0"/>
          <w:numId w:val="8"/>
        </w:numPr>
        <w:jc w:val="both"/>
      </w:pPr>
      <w:r w:rsidRPr="00993152">
        <w:t>der U 25 nicht mit den Eltern in eine neue Unterkunft umzieht, sondern in der bisherigen Wohnung bleibt (LSG S</w:t>
      </w:r>
      <w:r w:rsidR="009879A1" w:rsidRPr="00993152">
        <w:t>chleswig-Holstein</w:t>
      </w:r>
      <w:r w:rsidRPr="00993152">
        <w:t xml:space="preserve"> 18.03.2007 –L 11 B 13/07 AS ER-) </w:t>
      </w:r>
    </w:p>
    <w:p w:rsidR="00315AB4" w:rsidRPr="00993152" w:rsidRDefault="00315AB4" w:rsidP="003F19E5">
      <w:pPr>
        <w:jc w:val="both"/>
      </w:pPr>
    </w:p>
    <w:p w:rsidR="003F19E5" w:rsidRPr="00993152" w:rsidRDefault="00141218" w:rsidP="00E5033E">
      <w:pPr>
        <w:pStyle w:val="Listenabsatz"/>
        <w:numPr>
          <w:ilvl w:val="0"/>
          <w:numId w:val="8"/>
        </w:numPr>
        <w:jc w:val="both"/>
        <w:rPr>
          <w:rFonts w:cs="Arial"/>
        </w:rPr>
      </w:pPr>
      <w:r w:rsidRPr="00993152">
        <w:t>a</w:t>
      </w:r>
      <w:r w:rsidR="00315AB4" w:rsidRPr="00993152">
        <w:t xml:space="preserve">ufgrund einer Kündigung ein Umzug der bisherigen BG notwendig ist, der U 25 aber nicht mit den Eltern in eine neue Unterkunft zieht, sondern eine eigene Wohnung nimmt </w:t>
      </w:r>
      <w:r w:rsidR="003F19E5" w:rsidRPr="00993152">
        <w:t>(</w:t>
      </w:r>
      <w:r w:rsidR="003F19E5" w:rsidRPr="00993152">
        <w:rPr>
          <w:rFonts w:cs="Arial"/>
        </w:rPr>
        <w:t>Thüringer LSG 06.02.2007 – L 7 B 69/06 AS ER</w:t>
      </w:r>
      <w:r w:rsidR="009879A1" w:rsidRPr="00993152">
        <w:rPr>
          <w:rFonts w:cs="Arial"/>
        </w:rPr>
        <w:t>-</w:t>
      </w:r>
      <w:r w:rsidR="003F19E5" w:rsidRPr="00993152">
        <w:rPr>
          <w:rFonts w:cs="Arial"/>
        </w:rPr>
        <w:t>)</w:t>
      </w:r>
    </w:p>
    <w:p w:rsidR="003F19E5" w:rsidRPr="00993152" w:rsidRDefault="003F19E5" w:rsidP="003F19E5">
      <w:pPr>
        <w:pStyle w:val="Listenabsatz"/>
        <w:jc w:val="both"/>
        <w:rPr>
          <w:rFonts w:cs="Arial"/>
        </w:rPr>
      </w:pPr>
    </w:p>
    <w:p w:rsidR="003F19E5" w:rsidRPr="00993152" w:rsidRDefault="003F19E5" w:rsidP="00E5033E">
      <w:pPr>
        <w:pStyle w:val="Listenabsatz"/>
        <w:numPr>
          <w:ilvl w:val="0"/>
          <w:numId w:val="8"/>
        </w:numPr>
        <w:jc w:val="both"/>
        <w:rPr>
          <w:rFonts w:cs="Arial"/>
        </w:rPr>
      </w:pPr>
      <w:r w:rsidRPr="00993152">
        <w:rPr>
          <w:rFonts w:cs="Arial"/>
        </w:rPr>
        <w:t>ein Folgeumzug (U 25 ist bereits von Eltern weggezogen und zieht nun erneut um) vorliegt (LSG H</w:t>
      </w:r>
      <w:r w:rsidR="009879A1" w:rsidRPr="00993152">
        <w:rPr>
          <w:rFonts w:cs="Arial"/>
        </w:rPr>
        <w:t>amburg</w:t>
      </w:r>
      <w:r w:rsidRPr="00993152">
        <w:rPr>
          <w:rFonts w:cs="Arial"/>
        </w:rPr>
        <w:t xml:space="preserve"> 24.01.2008 – L 5 B 504/07 ER AS-)</w:t>
      </w:r>
    </w:p>
    <w:p w:rsidR="003F19E5" w:rsidRPr="00993152" w:rsidRDefault="003F19E5" w:rsidP="003F19E5">
      <w:pPr>
        <w:pStyle w:val="Listenabsatz"/>
        <w:jc w:val="both"/>
        <w:rPr>
          <w:rFonts w:cs="Arial"/>
        </w:rPr>
      </w:pPr>
    </w:p>
    <w:p w:rsidR="003F19E5" w:rsidRPr="00993152" w:rsidRDefault="003F19E5" w:rsidP="00E5033E">
      <w:pPr>
        <w:pStyle w:val="Listenabsatz"/>
        <w:numPr>
          <w:ilvl w:val="0"/>
          <w:numId w:val="8"/>
        </w:numPr>
        <w:jc w:val="both"/>
        <w:rPr>
          <w:rFonts w:cs="Arial"/>
        </w:rPr>
      </w:pPr>
      <w:r w:rsidRPr="00993152">
        <w:rPr>
          <w:rFonts w:cs="Arial"/>
        </w:rPr>
        <w:t>der U 25 bisher nicht Mitglied einer BG war oder einen solchen Haushalt angehört hat (LSG S</w:t>
      </w:r>
      <w:r w:rsidR="009879A1" w:rsidRPr="00993152">
        <w:rPr>
          <w:rFonts w:cs="Arial"/>
        </w:rPr>
        <w:t>achsen-Anhalt</w:t>
      </w:r>
      <w:r w:rsidRPr="00993152">
        <w:rPr>
          <w:rFonts w:cs="Arial"/>
        </w:rPr>
        <w:t xml:space="preserve"> 03.06.2010 –L 5AS 155/10 B ER -)</w:t>
      </w:r>
    </w:p>
    <w:p w:rsidR="003F19E5" w:rsidRPr="00993152" w:rsidRDefault="003F19E5" w:rsidP="003F19E5">
      <w:pPr>
        <w:pStyle w:val="Listenabsatz"/>
        <w:jc w:val="both"/>
        <w:rPr>
          <w:rFonts w:cs="Arial"/>
        </w:rPr>
      </w:pPr>
    </w:p>
    <w:p w:rsidR="00315AB4" w:rsidRPr="00993152" w:rsidRDefault="003F19E5" w:rsidP="00E5033E">
      <w:pPr>
        <w:pStyle w:val="Listenabsatz"/>
        <w:numPr>
          <w:ilvl w:val="0"/>
          <w:numId w:val="8"/>
        </w:numPr>
        <w:jc w:val="both"/>
      </w:pPr>
      <w:r w:rsidRPr="00993152">
        <w:rPr>
          <w:rFonts w:cs="Arial"/>
        </w:rPr>
        <w:t>zum Zeitpunkt des Umzuges keine Leistungen bezogen wurden oder der U 25  davon ausgehen konnte, dass er nach dem Umzug keine Leistungen benötigt, sich die Verhältnisse aber dann doch noch vor dem Umzug so ändern, dass  Leistungen benötigt werden, z.B. Verlust des Arbeitsplatzes (LSG N</w:t>
      </w:r>
      <w:r w:rsidR="009879A1" w:rsidRPr="00993152">
        <w:rPr>
          <w:rFonts w:cs="Arial"/>
        </w:rPr>
        <w:t xml:space="preserve">iedersachsen-Bremen </w:t>
      </w:r>
      <w:r w:rsidRPr="00993152">
        <w:rPr>
          <w:rFonts w:cs="Arial"/>
        </w:rPr>
        <w:t>29.10.2009 –L 15 AS 327/09 B ER</w:t>
      </w:r>
      <w:r w:rsidR="009879A1" w:rsidRPr="00993152">
        <w:rPr>
          <w:rFonts w:cs="Arial"/>
        </w:rPr>
        <w:t>-</w:t>
      </w:r>
      <w:r w:rsidRPr="00993152">
        <w:rPr>
          <w:rFonts w:cs="Arial"/>
        </w:rPr>
        <w:t>).</w:t>
      </w:r>
    </w:p>
    <w:p w:rsidR="001B7BF2" w:rsidRPr="00993152" w:rsidRDefault="001B7BF2" w:rsidP="001B7BF2">
      <w:pPr>
        <w:pStyle w:val="Listenabsatz"/>
      </w:pPr>
    </w:p>
    <w:p w:rsidR="005D52DA" w:rsidRPr="00993152" w:rsidRDefault="005D52DA" w:rsidP="001B7BF2">
      <w:pPr>
        <w:pStyle w:val="Listenabsatz"/>
      </w:pPr>
    </w:p>
    <w:p w:rsidR="005D52DA" w:rsidRPr="00993152" w:rsidRDefault="001B7BF2" w:rsidP="002E4D9F">
      <w:pPr>
        <w:pStyle w:val="berschrift2"/>
        <w:numPr>
          <w:ilvl w:val="0"/>
          <w:numId w:val="0"/>
        </w:numPr>
        <w:rPr>
          <w:sz w:val="24"/>
          <w:szCs w:val="24"/>
        </w:rPr>
      </w:pPr>
      <w:r w:rsidRPr="00993152">
        <w:rPr>
          <w:sz w:val="24"/>
          <w:szCs w:val="24"/>
        </w:rPr>
        <w:t>5.1 Zeitpunkt der Zusicherung</w:t>
      </w:r>
      <w:r w:rsidR="005D52DA" w:rsidRPr="00993152">
        <w:rPr>
          <w:sz w:val="24"/>
          <w:szCs w:val="24"/>
        </w:rPr>
        <w:t xml:space="preserve"> (§ 22 Abs. 5 Satz 1 SGB II)</w:t>
      </w:r>
    </w:p>
    <w:p w:rsidR="005D52DA" w:rsidRPr="00993152" w:rsidRDefault="005D52DA" w:rsidP="005D52DA">
      <w:pPr>
        <w:rPr>
          <w:sz w:val="24"/>
          <w:szCs w:val="24"/>
        </w:rPr>
      </w:pPr>
    </w:p>
    <w:p w:rsidR="005D52DA" w:rsidRPr="00993152" w:rsidRDefault="005D52DA" w:rsidP="005D52DA">
      <w:pPr>
        <w:jc w:val="both"/>
      </w:pPr>
      <w:r w:rsidRPr="00993152">
        <w:t>Bei einem geplanten Auszug aus der BG der Eltern muss der U 25 die Zusicherung   grundsätzlich vor Abschluss des Mietvertrages und vor dem Umzug beantragen.</w:t>
      </w:r>
    </w:p>
    <w:p w:rsidR="005D52DA" w:rsidRPr="00993152" w:rsidRDefault="005D52DA" w:rsidP="005D52DA">
      <w:pPr>
        <w:jc w:val="both"/>
      </w:pPr>
      <w:r w:rsidRPr="00993152">
        <w:t xml:space="preserve">Bei rechtzeitiger Antragstellung ist </w:t>
      </w:r>
      <w:r w:rsidR="0022733D" w:rsidRPr="00993152">
        <w:t xml:space="preserve">über </w:t>
      </w:r>
      <w:r w:rsidRPr="00993152">
        <w:t>de</w:t>
      </w:r>
      <w:r w:rsidR="0022733D" w:rsidRPr="00993152">
        <w:t>n</w:t>
      </w:r>
      <w:r w:rsidRPr="00993152">
        <w:t xml:space="preserve"> Antrag vom Jobcenter so schnell wie</w:t>
      </w:r>
      <w:r w:rsidR="003B2D98" w:rsidRPr="00993152">
        <w:t xml:space="preserve"> möglich</w:t>
      </w:r>
      <w:r w:rsidRPr="00993152">
        <w:t xml:space="preserve"> </w:t>
      </w:r>
      <w:r w:rsidR="0022733D" w:rsidRPr="00993152">
        <w:t>zu entscheiden.</w:t>
      </w:r>
    </w:p>
    <w:p w:rsidR="005D52DA" w:rsidRPr="00993152" w:rsidRDefault="005D52DA" w:rsidP="005D52DA">
      <w:pPr>
        <w:jc w:val="both"/>
      </w:pPr>
    </w:p>
    <w:p w:rsidR="0088481B" w:rsidRPr="00993152" w:rsidRDefault="0088481B" w:rsidP="005D52DA">
      <w:pPr>
        <w:jc w:val="both"/>
      </w:pPr>
    </w:p>
    <w:p w:rsidR="005D52DA" w:rsidRPr="00993152" w:rsidRDefault="005D52DA" w:rsidP="002E4D9F">
      <w:pPr>
        <w:pStyle w:val="berschrift2"/>
        <w:numPr>
          <w:ilvl w:val="0"/>
          <w:numId w:val="0"/>
        </w:numPr>
        <w:rPr>
          <w:sz w:val="24"/>
          <w:szCs w:val="24"/>
        </w:rPr>
      </w:pPr>
      <w:r w:rsidRPr="00993152">
        <w:rPr>
          <w:sz w:val="24"/>
          <w:szCs w:val="24"/>
        </w:rPr>
        <w:t>5.2 Anspruch auf Zusicherung (§ 22 Abs. 5 Satz 2 SGB II)</w:t>
      </w:r>
    </w:p>
    <w:p w:rsidR="0088481B" w:rsidRPr="00993152" w:rsidRDefault="0088481B" w:rsidP="005D52DA">
      <w:pPr>
        <w:jc w:val="both"/>
        <w:rPr>
          <w:b/>
          <w:sz w:val="24"/>
          <w:szCs w:val="24"/>
        </w:rPr>
      </w:pPr>
    </w:p>
    <w:p w:rsidR="0088481B" w:rsidRPr="00993152" w:rsidRDefault="0088481B" w:rsidP="0088481B">
      <w:pPr>
        <w:jc w:val="both"/>
      </w:pPr>
      <w:r w:rsidRPr="00993152">
        <w:t>Der Anspruch auf Zusicherung erstreckt sich bei Vorliegen der Voraussetzungen nur auf die angemessenen KdU.</w:t>
      </w:r>
    </w:p>
    <w:p w:rsidR="008177DC" w:rsidRDefault="008177DC" w:rsidP="0088481B">
      <w:pPr>
        <w:jc w:val="both"/>
        <w:rPr>
          <w:b/>
          <w:sz w:val="24"/>
          <w:szCs w:val="24"/>
        </w:rPr>
      </w:pPr>
    </w:p>
    <w:p w:rsidR="006F7135" w:rsidRDefault="006F7135" w:rsidP="0088481B">
      <w:pPr>
        <w:jc w:val="both"/>
        <w:rPr>
          <w:b/>
          <w:sz w:val="24"/>
          <w:szCs w:val="24"/>
        </w:rPr>
      </w:pPr>
    </w:p>
    <w:p w:rsidR="006F7135" w:rsidRPr="00993152" w:rsidRDefault="006F7135" w:rsidP="0088481B">
      <w:pPr>
        <w:jc w:val="both"/>
        <w:rPr>
          <w:b/>
          <w:sz w:val="24"/>
          <w:szCs w:val="24"/>
        </w:rPr>
      </w:pPr>
    </w:p>
    <w:p w:rsidR="008177DC" w:rsidRPr="00993152" w:rsidRDefault="008028D6" w:rsidP="002E4D9F">
      <w:pPr>
        <w:pStyle w:val="berschrift3"/>
        <w:numPr>
          <w:ilvl w:val="0"/>
          <w:numId w:val="0"/>
        </w:numPr>
        <w:ind w:left="142"/>
        <w:rPr>
          <w:sz w:val="24"/>
          <w:szCs w:val="24"/>
        </w:rPr>
      </w:pPr>
      <w:r w:rsidRPr="00993152">
        <w:rPr>
          <w:sz w:val="24"/>
          <w:szCs w:val="24"/>
        </w:rPr>
        <w:lastRenderedPageBreak/>
        <w:t xml:space="preserve"> 5.2.1 </w:t>
      </w:r>
      <w:r w:rsidR="004616CD" w:rsidRPr="00993152">
        <w:rPr>
          <w:sz w:val="24"/>
          <w:szCs w:val="24"/>
        </w:rPr>
        <w:t>S</w:t>
      </w:r>
      <w:r w:rsidRPr="00993152">
        <w:rPr>
          <w:sz w:val="24"/>
          <w:szCs w:val="24"/>
        </w:rPr>
        <w:t>chwerwiegende soziale Gründe</w:t>
      </w:r>
      <w:r w:rsidR="0022733D" w:rsidRPr="00993152">
        <w:rPr>
          <w:sz w:val="24"/>
          <w:szCs w:val="24"/>
        </w:rPr>
        <w:t xml:space="preserve"> </w:t>
      </w:r>
    </w:p>
    <w:p w:rsidR="008028D6" w:rsidRPr="00993152" w:rsidRDefault="008028D6" w:rsidP="0088481B">
      <w:pPr>
        <w:jc w:val="both"/>
      </w:pPr>
      <w:r w:rsidRPr="00993152">
        <w:t xml:space="preserve"> </w:t>
      </w:r>
    </w:p>
    <w:p w:rsidR="008028D6" w:rsidRPr="00993152" w:rsidRDefault="008028D6" w:rsidP="0088481B">
      <w:pPr>
        <w:jc w:val="both"/>
        <w:rPr>
          <w:rFonts w:cs="Arial"/>
        </w:rPr>
      </w:pPr>
      <w:r w:rsidRPr="00993152">
        <w:rPr>
          <w:rFonts w:cs="Arial"/>
        </w:rPr>
        <w:t>Hierzu reichen aus dem Generationenkonflikt regelmäßig herrührende Spannungen nicht aus. Solche rechtfertigen es nicht, den Steuerzahler mit Kosten zu belasten. Notwendig ist eine schwerwiegende Konfliktsituation (LSG B</w:t>
      </w:r>
      <w:r w:rsidR="009879A1" w:rsidRPr="00993152">
        <w:rPr>
          <w:rFonts w:cs="Arial"/>
        </w:rPr>
        <w:t>randenburg</w:t>
      </w:r>
      <w:r w:rsidRPr="00993152">
        <w:rPr>
          <w:rFonts w:cs="Arial"/>
        </w:rPr>
        <w:t xml:space="preserve"> 31.08.2007 – L 5 AS 29/06 -).</w:t>
      </w:r>
    </w:p>
    <w:p w:rsidR="008028D6" w:rsidRPr="00993152" w:rsidRDefault="008028D6" w:rsidP="0088481B">
      <w:pPr>
        <w:jc w:val="both"/>
      </w:pPr>
      <w:r w:rsidRPr="00993152">
        <w:t xml:space="preserve">   </w:t>
      </w:r>
    </w:p>
    <w:p w:rsidR="008028D6" w:rsidRPr="00993152" w:rsidRDefault="008028D6" w:rsidP="0088481B">
      <w:pPr>
        <w:jc w:val="both"/>
      </w:pPr>
      <w:r w:rsidRPr="00993152">
        <w:t>Ein U 25 kann zumindest dann nicht auf die Wohnung der Eltern oder eines Elternteils verwiesen werden, wenn:</w:t>
      </w:r>
    </w:p>
    <w:p w:rsidR="009879A1" w:rsidRPr="00993152" w:rsidRDefault="008028D6" w:rsidP="00E5033E">
      <w:pPr>
        <w:pStyle w:val="Listenabsatz"/>
        <w:numPr>
          <w:ilvl w:val="0"/>
          <w:numId w:val="9"/>
        </w:numPr>
        <w:jc w:val="both"/>
      </w:pPr>
      <w:r w:rsidRPr="00993152">
        <w:t xml:space="preserve">die Eltern-Kind Beziehung tiefgreifend gestört ist </w:t>
      </w:r>
    </w:p>
    <w:p w:rsidR="008028D6" w:rsidRPr="00993152" w:rsidRDefault="009879A1" w:rsidP="009879A1">
      <w:pPr>
        <w:ind w:left="900"/>
        <w:jc w:val="both"/>
      </w:pPr>
      <w:r w:rsidRPr="00993152">
        <w:t xml:space="preserve">      </w:t>
      </w:r>
      <w:r w:rsidR="008028D6" w:rsidRPr="00993152">
        <w:t>(LSG S</w:t>
      </w:r>
      <w:r w:rsidRPr="00993152">
        <w:t>achsen Anhalt</w:t>
      </w:r>
      <w:r w:rsidR="008028D6" w:rsidRPr="00993152">
        <w:t xml:space="preserve"> 16.06.2010 – L 5 AS 383/09 B ER</w:t>
      </w:r>
      <w:r w:rsidRPr="00993152">
        <w:t>-</w:t>
      </w:r>
      <w:r w:rsidR="008028D6" w:rsidRPr="00993152">
        <w:t>)</w:t>
      </w:r>
    </w:p>
    <w:p w:rsidR="008028D6" w:rsidRPr="00993152" w:rsidRDefault="008028D6" w:rsidP="00E5033E">
      <w:pPr>
        <w:pStyle w:val="Listenabsatz"/>
        <w:numPr>
          <w:ilvl w:val="0"/>
          <w:numId w:val="9"/>
        </w:numPr>
        <w:jc w:val="both"/>
      </w:pPr>
      <w:r w:rsidRPr="00993152">
        <w:t xml:space="preserve">sexuelle oder gewalttätige Übergriffe des  oder gegen den U 25 erfolgt sind </w:t>
      </w:r>
    </w:p>
    <w:p w:rsidR="009879A1" w:rsidRPr="00993152" w:rsidRDefault="008028D6" w:rsidP="00E5033E">
      <w:pPr>
        <w:pStyle w:val="Listenabsatz"/>
        <w:numPr>
          <w:ilvl w:val="0"/>
          <w:numId w:val="9"/>
        </w:numPr>
        <w:jc w:val="both"/>
      </w:pPr>
      <w:r w:rsidRPr="00993152">
        <w:t xml:space="preserve">schwangere U 25 mit Eltern in ständigen Streit lebt </w:t>
      </w:r>
    </w:p>
    <w:p w:rsidR="008028D6" w:rsidRPr="00993152" w:rsidRDefault="009879A1" w:rsidP="009879A1">
      <w:pPr>
        <w:ind w:left="900"/>
        <w:jc w:val="both"/>
      </w:pPr>
      <w:r w:rsidRPr="00993152">
        <w:t xml:space="preserve">      </w:t>
      </w:r>
      <w:r w:rsidR="008028D6" w:rsidRPr="00993152">
        <w:t>(LSG H</w:t>
      </w:r>
      <w:r w:rsidRPr="00993152">
        <w:t>amburg</w:t>
      </w:r>
      <w:r w:rsidR="008028D6" w:rsidRPr="00993152">
        <w:t xml:space="preserve"> 02.05.2006 –L 5 B 160/06 ER AS-).</w:t>
      </w:r>
    </w:p>
    <w:p w:rsidR="008028D6" w:rsidRPr="00993152" w:rsidRDefault="008028D6" w:rsidP="0088481B">
      <w:pPr>
        <w:ind w:left="142" w:firstLine="398"/>
        <w:jc w:val="both"/>
      </w:pPr>
      <w:r w:rsidRPr="00993152">
        <w:t xml:space="preserve"> </w:t>
      </w:r>
    </w:p>
    <w:p w:rsidR="005D52DA" w:rsidRPr="00993152" w:rsidRDefault="005D52DA" w:rsidP="0088481B">
      <w:pPr>
        <w:ind w:firstLine="708"/>
        <w:jc w:val="both"/>
        <w:rPr>
          <w:sz w:val="24"/>
          <w:szCs w:val="24"/>
        </w:rPr>
      </w:pPr>
    </w:p>
    <w:p w:rsidR="001B7BF2" w:rsidRPr="00993152" w:rsidRDefault="008028D6" w:rsidP="002E4D9F">
      <w:pPr>
        <w:pStyle w:val="berschrift3"/>
        <w:numPr>
          <w:ilvl w:val="0"/>
          <w:numId w:val="0"/>
        </w:numPr>
        <w:ind w:left="142"/>
        <w:rPr>
          <w:sz w:val="24"/>
          <w:szCs w:val="24"/>
        </w:rPr>
      </w:pPr>
      <w:r w:rsidRPr="00993152">
        <w:rPr>
          <w:sz w:val="24"/>
          <w:szCs w:val="24"/>
        </w:rPr>
        <w:t>5.2.2 Eingliederung in den Arbeitsmarkt</w:t>
      </w:r>
    </w:p>
    <w:p w:rsidR="00F05ED1" w:rsidRPr="00993152" w:rsidRDefault="00F05ED1" w:rsidP="0088481B">
      <w:pPr>
        <w:jc w:val="both"/>
      </w:pPr>
    </w:p>
    <w:p w:rsidR="00F05ED1" w:rsidRPr="00993152" w:rsidRDefault="00766564" w:rsidP="0088481B">
      <w:pPr>
        <w:jc w:val="both"/>
      </w:pPr>
      <w:r w:rsidRPr="00993152">
        <w:t>Sofern ein Auszug aus der BG der Eltern zur Arbeitsaufnahme erforderlich ist, weil z.B. die Arbeitsstelle von der Wohnung der Eltern nicht oder nur schwer erreicht werden kann, ist eine Zusicherung zu erteilen. Die Möglichkeiten der U 25 sind zu berücksichtigen (Führerschein, Fahrzeugart, öffentl. Verkehrsanbindung usw.). Unzumutbar erscheint ein Verweis auf öffentliche Verkehrsmittel bei Schichtarbeit oder Fahrzeiten von über 2 Stunden für die einfache Strecke. Auch sollte der erzielte Arbeitslohn im Verhältnis zu den Fahrkosten bei der Entscheidung beachtet werden.</w:t>
      </w:r>
    </w:p>
    <w:p w:rsidR="008307A6" w:rsidRPr="00993152" w:rsidRDefault="008307A6" w:rsidP="0088481B">
      <w:pPr>
        <w:jc w:val="both"/>
      </w:pPr>
    </w:p>
    <w:p w:rsidR="008307A6" w:rsidRPr="00993152" w:rsidRDefault="008307A6" w:rsidP="002E4D9F">
      <w:pPr>
        <w:pStyle w:val="berschrift3"/>
        <w:numPr>
          <w:ilvl w:val="0"/>
          <w:numId w:val="0"/>
        </w:numPr>
        <w:ind w:left="142"/>
        <w:rPr>
          <w:sz w:val="24"/>
          <w:szCs w:val="24"/>
        </w:rPr>
      </w:pPr>
      <w:r w:rsidRPr="00993152">
        <w:rPr>
          <w:sz w:val="24"/>
          <w:szCs w:val="24"/>
        </w:rPr>
        <w:t>5.2.3 sonstige ähnlich schwerwiegende Gründe</w:t>
      </w:r>
    </w:p>
    <w:p w:rsidR="008307A6" w:rsidRPr="00993152" w:rsidRDefault="008307A6" w:rsidP="0088481B">
      <w:pPr>
        <w:jc w:val="both"/>
      </w:pPr>
    </w:p>
    <w:p w:rsidR="008307A6" w:rsidRPr="00993152" w:rsidRDefault="008307A6" w:rsidP="0088481B">
      <w:pPr>
        <w:jc w:val="both"/>
      </w:pPr>
      <w:r w:rsidRPr="00993152">
        <w:t>Hier ist eine Abwägung der Gründe, die für und die gegen einen Verbleib des U 25 im Haushalt der Eltern sprechen notwendig.</w:t>
      </w:r>
    </w:p>
    <w:p w:rsidR="008307A6" w:rsidRPr="00993152" w:rsidRDefault="008307A6" w:rsidP="0088481B">
      <w:pPr>
        <w:jc w:val="both"/>
      </w:pPr>
    </w:p>
    <w:p w:rsidR="008307A6" w:rsidRPr="00993152" w:rsidRDefault="008307A6" w:rsidP="0088481B">
      <w:pPr>
        <w:jc w:val="both"/>
      </w:pPr>
      <w:r w:rsidRPr="00993152">
        <w:t>Eine Zusicherung erscheint z.B. angebracht, wenn der</w:t>
      </w:r>
      <w:r w:rsidR="0088481B" w:rsidRPr="00993152">
        <w:t>/die</w:t>
      </w:r>
      <w:r w:rsidRPr="00993152">
        <w:t xml:space="preserve"> U 25 mit langjährige</w:t>
      </w:r>
      <w:r w:rsidR="0088481B" w:rsidRPr="00993152">
        <w:t>m Partner</w:t>
      </w:r>
      <w:r w:rsidRPr="00993152">
        <w:t xml:space="preserve">  zusammenziehen will und erst recht</w:t>
      </w:r>
      <w:r w:rsidR="0088481B" w:rsidRPr="00993152">
        <w:t>,</w:t>
      </w:r>
      <w:r w:rsidRPr="00993152">
        <w:t xml:space="preserve"> wenn ein gemeinsames Kind betreut werden soll</w:t>
      </w:r>
      <w:r w:rsidR="0088481B" w:rsidRPr="00993152">
        <w:t>, oder die Freundin schwanger ist</w:t>
      </w:r>
      <w:r w:rsidRPr="00993152">
        <w:t>.</w:t>
      </w:r>
    </w:p>
    <w:p w:rsidR="00904AF1" w:rsidRPr="00993152" w:rsidRDefault="00904AF1" w:rsidP="0088481B">
      <w:pPr>
        <w:jc w:val="both"/>
      </w:pPr>
    </w:p>
    <w:p w:rsidR="00CE17AD" w:rsidRDefault="00CE17AD" w:rsidP="0088481B">
      <w:pPr>
        <w:jc w:val="both"/>
      </w:pPr>
    </w:p>
    <w:p w:rsidR="00CE17AD" w:rsidRPr="00993152" w:rsidRDefault="00CE17AD" w:rsidP="0088481B">
      <w:pPr>
        <w:jc w:val="both"/>
      </w:pPr>
    </w:p>
    <w:p w:rsidR="00904AF1" w:rsidRPr="00993152" w:rsidRDefault="00904AF1" w:rsidP="005660C2">
      <w:pPr>
        <w:jc w:val="both"/>
        <w:outlineLvl w:val="0"/>
        <w:rPr>
          <w:b/>
          <w:sz w:val="24"/>
          <w:szCs w:val="24"/>
        </w:rPr>
      </w:pPr>
      <w:r w:rsidRPr="00993152">
        <w:rPr>
          <w:b/>
          <w:sz w:val="24"/>
          <w:szCs w:val="24"/>
        </w:rPr>
        <w:t>5.3 Entbehrlichkeit Zusicherung (§ 22 Abs. 5 Satz 3 SGB II)</w:t>
      </w:r>
    </w:p>
    <w:p w:rsidR="003127CA" w:rsidRPr="00993152" w:rsidRDefault="003127CA" w:rsidP="0088481B">
      <w:pPr>
        <w:jc w:val="both"/>
        <w:rPr>
          <w:b/>
          <w:sz w:val="24"/>
          <w:szCs w:val="24"/>
        </w:rPr>
      </w:pPr>
    </w:p>
    <w:p w:rsidR="003127CA" w:rsidRPr="00993152" w:rsidRDefault="003127CA" w:rsidP="0088481B">
      <w:pPr>
        <w:jc w:val="both"/>
      </w:pPr>
      <w:r w:rsidRPr="00993152">
        <w:t xml:space="preserve">Auf die Zusicherung kann nur verzichtet werden, wenn sie hätte erteilt werden müssen und es dem Betroffenen aus wichtigem Grund nicht zumutbar war, sie einzuholen. </w:t>
      </w:r>
    </w:p>
    <w:p w:rsidR="003127CA" w:rsidRPr="00993152" w:rsidRDefault="003127CA" w:rsidP="0088481B">
      <w:pPr>
        <w:jc w:val="both"/>
      </w:pPr>
      <w:r w:rsidRPr="00993152">
        <w:t>Die Zusicherung hätte erteilt werden müssen, wenn die Voraussetzungen des Satzes 2 vorlagen. Die Einholung der Zusicherung ist dann aus wichtigem Grund unzumutbar, wenn die Entscheidung des Leistungsträgers wegen der besonderen Dringlichkeit des Auszugs nicht rechtzeitig eingeholt werden kann (Berlit in LPK-SGB II</w:t>
      </w:r>
      <w:r w:rsidR="00D239E5" w:rsidRPr="00993152">
        <w:t>, 4. Auflage 2011, § 22 RdNr</w:t>
      </w:r>
      <w:r w:rsidRPr="00993152">
        <w:t>. 148 u. 149).</w:t>
      </w:r>
    </w:p>
    <w:p w:rsidR="00D34056" w:rsidRDefault="00D34056" w:rsidP="0088481B">
      <w:pPr>
        <w:jc w:val="both"/>
      </w:pPr>
    </w:p>
    <w:p w:rsidR="00FB51A2" w:rsidRDefault="00FB51A2" w:rsidP="0088481B">
      <w:pPr>
        <w:jc w:val="both"/>
      </w:pPr>
    </w:p>
    <w:p w:rsidR="00FB51A2" w:rsidRDefault="00FB51A2" w:rsidP="0088481B">
      <w:pPr>
        <w:jc w:val="both"/>
      </w:pPr>
    </w:p>
    <w:p w:rsidR="00FB51A2" w:rsidRDefault="00FB51A2" w:rsidP="0088481B">
      <w:pPr>
        <w:jc w:val="both"/>
      </w:pPr>
    </w:p>
    <w:p w:rsidR="00FB51A2" w:rsidRPr="00993152" w:rsidRDefault="00FB51A2" w:rsidP="0088481B">
      <w:pPr>
        <w:jc w:val="both"/>
      </w:pPr>
    </w:p>
    <w:p w:rsidR="00BC4AA2" w:rsidRPr="00993152" w:rsidRDefault="00BC4AA2" w:rsidP="005660C2">
      <w:pPr>
        <w:jc w:val="both"/>
        <w:outlineLvl w:val="0"/>
        <w:rPr>
          <w:b/>
          <w:sz w:val="24"/>
          <w:szCs w:val="24"/>
        </w:rPr>
      </w:pPr>
      <w:r w:rsidRPr="00993152">
        <w:rPr>
          <w:b/>
          <w:sz w:val="24"/>
          <w:szCs w:val="24"/>
        </w:rPr>
        <w:lastRenderedPageBreak/>
        <w:t>5.4 Absichtliche Herbeiführung der Hilfebedürftigkeit (§ 22 Abs. 5 Satz 4 SGB II)</w:t>
      </w:r>
    </w:p>
    <w:p w:rsidR="00D34056" w:rsidRPr="00993152" w:rsidRDefault="00D34056" w:rsidP="0088481B">
      <w:pPr>
        <w:jc w:val="both"/>
        <w:rPr>
          <w:b/>
          <w:sz w:val="24"/>
          <w:szCs w:val="24"/>
        </w:rPr>
      </w:pPr>
    </w:p>
    <w:p w:rsidR="00D34056" w:rsidRPr="00993152" w:rsidRDefault="00D34056" w:rsidP="0088481B">
      <w:pPr>
        <w:jc w:val="both"/>
      </w:pPr>
      <w:r w:rsidRPr="00993152">
        <w:t xml:space="preserve">Nur wenn  U 25, die bisher Leistungen noch nicht beantragt haben,   in der Absicht umziehen </w:t>
      </w:r>
      <w:r w:rsidR="00141218" w:rsidRPr="00993152">
        <w:t xml:space="preserve">um </w:t>
      </w:r>
      <w:r w:rsidRPr="00993152">
        <w:t>Leistungen zu erlangen, werden keine Bedarfe für die KdU anerkannt. Absicht geht jedoch über vorsätzliches oder grob fahrlässiges Handeln hinaus (vgl. LSG S</w:t>
      </w:r>
      <w:r w:rsidR="009879A1" w:rsidRPr="00993152">
        <w:t>achsen</w:t>
      </w:r>
      <w:r w:rsidRPr="00993152">
        <w:t xml:space="preserve"> 02.07.2009 – L 3 AS 128/08</w:t>
      </w:r>
      <w:r w:rsidR="00AA39F3" w:rsidRPr="00993152">
        <w:t>-</w:t>
      </w:r>
      <w:r w:rsidRPr="00993152">
        <w:t xml:space="preserve">). Das Jobcenter trägt die Beweislast und muss die Absicht nachweisen können. </w:t>
      </w:r>
    </w:p>
    <w:p w:rsidR="00D40B40" w:rsidRPr="00993152" w:rsidRDefault="00D40B40" w:rsidP="0088481B">
      <w:pPr>
        <w:jc w:val="both"/>
      </w:pPr>
      <w:r w:rsidRPr="00993152">
        <w:t>Demnach scheint Satz 4 in der Praxis nur in den seltensten Fällen zu greifen.</w:t>
      </w:r>
    </w:p>
    <w:p w:rsidR="00D34056" w:rsidRPr="00993152" w:rsidRDefault="00D34056" w:rsidP="0088481B">
      <w:pPr>
        <w:jc w:val="both"/>
      </w:pPr>
    </w:p>
    <w:p w:rsidR="003611BD" w:rsidRPr="007A6096" w:rsidRDefault="00CF2DD4" w:rsidP="008D5965">
      <w:pPr>
        <w:pStyle w:val="berschrift1"/>
        <w:numPr>
          <w:ilvl w:val="0"/>
          <w:numId w:val="0"/>
        </w:numPr>
        <w:rPr>
          <w:sz w:val="24"/>
          <w:szCs w:val="24"/>
        </w:rPr>
      </w:pPr>
      <w:r w:rsidRPr="007A6096">
        <w:rPr>
          <w:sz w:val="24"/>
          <w:szCs w:val="24"/>
        </w:rPr>
        <w:t>6.</w:t>
      </w:r>
      <w:r w:rsidR="008870DA" w:rsidRPr="007A6096">
        <w:rPr>
          <w:sz w:val="24"/>
          <w:szCs w:val="24"/>
        </w:rPr>
        <w:t xml:space="preserve"> Wohnungsbeschaffungs- und Umzugskosten (§ 22 Abs. 6 SGB II)</w:t>
      </w:r>
    </w:p>
    <w:p w:rsidR="003611BD" w:rsidRPr="00993152" w:rsidRDefault="003611BD" w:rsidP="003611BD">
      <w:pPr>
        <w:rPr>
          <w:sz w:val="24"/>
          <w:szCs w:val="24"/>
        </w:rPr>
      </w:pPr>
    </w:p>
    <w:p w:rsidR="003611BD" w:rsidRPr="00993152" w:rsidRDefault="003611BD" w:rsidP="00A6512C">
      <w:pPr>
        <w:jc w:val="both"/>
        <w:rPr>
          <w:rFonts w:cs="Arial"/>
        </w:rPr>
      </w:pPr>
      <w:r w:rsidRPr="00993152">
        <w:rPr>
          <w:rFonts w:cs="Arial"/>
        </w:rPr>
        <w:t xml:space="preserve">Die Übernahme von Umzugskosten hängt </w:t>
      </w:r>
      <w:r w:rsidR="005B6CF8" w:rsidRPr="00993152">
        <w:rPr>
          <w:rFonts w:cs="Arial"/>
        </w:rPr>
        <w:t>nicht</w:t>
      </w:r>
      <w:r w:rsidRPr="00993152">
        <w:rPr>
          <w:rFonts w:cs="Arial"/>
        </w:rPr>
        <w:t xml:space="preserve"> davon ab, dass der Antragsteller überhaupt dem Grunde nach Anspruch auf laufende Leistungen zur Sicherung des Lebensunterhalts hat.</w:t>
      </w:r>
    </w:p>
    <w:p w:rsidR="005B6CF8" w:rsidRPr="00993152" w:rsidRDefault="005B6CF8" w:rsidP="00A6512C">
      <w:pPr>
        <w:jc w:val="both"/>
        <w:rPr>
          <w:rFonts w:cs="Arial"/>
        </w:rPr>
      </w:pPr>
    </w:p>
    <w:p w:rsidR="005B6CF8" w:rsidRPr="00993152" w:rsidRDefault="005B6CF8" w:rsidP="008F6A4B">
      <w:pPr>
        <w:autoSpaceDE w:val="0"/>
        <w:autoSpaceDN w:val="0"/>
        <w:adjustRightInd w:val="0"/>
        <w:jc w:val="both"/>
        <w:rPr>
          <w:rFonts w:cs="Arial"/>
        </w:rPr>
      </w:pPr>
      <w:r w:rsidRPr="00993152">
        <w:rPr>
          <w:rFonts w:cs="Arial"/>
        </w:rPr>
        <w:t>Gemäß dem Schreiben des StMAS vom 22.05.2012 (Az. I</w:t>
      </w:r>
      <w:r w:rsidR="008F6A4B" w:rsidRPr="00993152">
        <w:rPr>
          <w:rFonts w:cs="Arial"/>
        </w:rPr>
        <w:t xml:space="preserve"> 3/6074.04) ist auch </w:t>
      </w:r>
      <w:r w:rsidRPr="00993152">
        <w:rPr>
          <w:rFonts w:cs="Arial"/>
        </w:rPr>
        <w:t xml:space="preserve">die </w:t>
      </w:r>
      <w:r w:rsidR="008F6A4B" w:rsidRPr="00993152">
        <w:rPr>
          <w:rFonts w:cs="Arial"/>
        </w:rPr>
        <w:t xml:space="preserve">isolierte </w:t>
      </w:r>
      <w:r w:rsidRPr="00993152">
        <w:rPr>
          <w:rFonts w:cs="Arial"/>
        </w:rPr>
        <w:t xml:space="preserve">Gewährung von einmaligen KdU Leistungen, wie Mietkaution und Umzugskosten </w:t>
      </w:r>
      <w:r w:rsidRPr="00993152">
        <w:rPr>
          <w:rFonts w:cs="Arial"/>
          <w:b/>
        </w:rPr>
        <w:t xml:space="preserve">auch für nichtlaufende Fälle </w:t>
      </w:r>
      <w:r w:rsidR="008F6A4B" w:rsidRPr="00993152">
        <w:rPr>
          <w:rFonts w:cs="Arial"/>
        </w:rPr>
        <w:t xml:space="preserve">möglich, soweit diese als Teil der </w:t>
      </w:r>
      <w:r w:rsidR="008F6A4B" w:rsidRPr="00993152">
        <w:rPr>
          <w:rFonts w:cs="Arial"/>
          <w:u w:val="single"/>
        </w:rPr>
        <w:t>angemessenen</w:t>
      </w:r>
      <w:r w:rsidR="008F6A4B" w:rsidRPr="00993152">
        <w:rPr>
          <w:rFonts w:cs="Arial"/>
        </w:rPr>
        <w:t xml:space="preserve"> KdU anzusehen sind. Diese einmaligen Leistungen </w:t>
      </w:r>
      <w:r w:rsidRPr="00993152">
        <w:rPr>
          <w:rFonts w:cs="Arial"/>
        </w:rPr>
        <w:t>setzen wir im Gleichgang mit der SHV im Landkreis Passau analog den Leistungen zur einmaligen Beschaffung von Heizmaterial um.</w:t>
      </w:r>
    </w:p>
    <w:p w:rsidR="005B6CF8" w:rsidRPr="00993152" w:rsidRDefault="005B6CF8" w:rsidP="008F6A4B">
      <w:pPr>
        <w:autoSpaceDE w:val="0"/>
        <w:autoSpaceDN w:val="0"/>
        <w:adjustRightInd w:val="0"/>
        <w:jc w:val="both"/>
        <w:rPr>
          <w:rFonts w:cs="Arial"/>
        </w:rPr>
      </w:pPr>
      <w:r w:rsidRPr="00993152">
        <w:rPr>
          <w:rFonts w:cs="Arial"/>
        </w:rPr>
        <w:t xml:space="preserve">Das heißt, dass übersteigendes Einkommen von bis zu zwölf Monaten berücksichtigt werden kann (Anwendung der Rechtsprechung des LSG Baden-Württemberg 24.04.2009, Az. L 12 AS 4195/08 und der Nr. 35.04 Abs. 5 der Sozialhilferichtlinien analog). </w:t>
      </w:r>
    </w:p>
    <w:p w:rsidR="005B6CF8" w:rsidRPr="00993152" w:rsidRDefault="005B6CF8" w:rsidP="008F6A4B">
      <w:pPr>
        <w:autoSpaceDE w:val="0"/>
        <w:autoSpaceDN w:val="0"/>
        <w:adjustRightInd w:val="0"/>
        <w:jc w:val="both"/>
        <w:rPr>
          <w:rFonts w:cs="Arial"/>
        </w:rPr>
      </w:pPr>
      <w:r w:rsidRPr="00993152">
        <w:rPr>
          <w:rFonts w:cs="Arial"/>
        </w:rPr>
        <w:t xml:space="preserve">Aber auch hier ist der Einzelfall zu beachten. </w:t>
      </w:r>
    </w:p>
    <w:p w:rsidR="005B6CF8" w:rsidRPr="00993152" w:rsidRDefault="005B6CF8" w:rsidP="008F6A4B">
      <w:pPr>
        <w:autoSpaceDE w:val="0"/>
        <w:autoSpaceDN w:val="0"/>
        <w:adjustRightInd w:val="0"/>
        <w:jc w:val="both"/>
        <w:rPr>
          <w:rFonts w:cs="Arial"/>
        </w:rPr>
      </w:pPr>
    </w:p>
    <w:p w:rsidR="005B6CF8" w:rsidRPr="00993152" w:rsidRDefault="005B6CF8" w:rsidP="008F6A4B">
      <w:pPr>
        <w:autoSpaceDE w:val="0"/>
        <w:autoSpaceDN w:val="0"/>
        <w:adjustRightInd w:val="0"/>
        <w:jc w:val="both"/>
        <w:rPr>
          <w:rFonts w:cs="Arial"/>
          <w:sz w:val="20"/>
          <w:szCs w:val="20"/>
        </w:rPr>
      </w:pPr>
      <w:r w:rsidRPr="00993152">
        <w:rPr>
          <w:rFonts w:cs="Arial"/>
        </w:rPr>
        <w:t xml:space="preserve">Beispiel: Jemand wird unverschuldet wegen Eigenbedarf des Vermieters gekündigt und muss innerhalb von 3 Monaten umziehen. Übersteigendes Einkommen 50,00 EUR monatlich.  Hier ist lediglich ein Multiplikator von 3 angebracht. </w:t>
      </w:r>
    </w:p>
    <w:p w:rsidR="003611BD" w:rsidRPr="00993152" w:rsidRDefault="003611BD" w:rsidP="00A6512C">
      <w:pPr>
        <w:jc w:val="both"/>
        <w:rPr>
          <w:rFonts w:cs="Arial"/>
        </w:rPr>
      </w:pPr>
    </w:p>
    <w:p w:rsidR="003611BD" w:rsidRPr="00993152" w:rsidRDefault="003611BD" w:rsidP="00A6512C">
      <w:pPr>
        <w:jc w:val="both"/>
        <w:rPr>
          <w:rFonts w:cs="Arial"/>
        </w:rPr>
      </w:pPr>
      <w:r w:rsidRPr="00993152">
        <w:rPr>
          <w:rFonts w:cs="Arial"/>
        </w:rPr>
        <w:t xml:space="preserve">Die Übernahme steht </w:t>
      </w:r>
      <w:r w:rsidRPr="00993152">
        <w:rPr>
          <w:rFonts w:cs="Arial"/>
          <w:b/>
        </w:rPr>
        <w:t>im Ermessen</w:t>
      </w:r>
      <w:r w:rsidRPr="00993152">
        <w:rPr>
          <w:rFonts w:cs="Arial"/>
        </w:rPr>
        <w:t xml:space="preserve"> des Jobcenters und setzt </w:t>
      </w:r>
      <w:r w:rsidR="00A6512C" w:rsidRPr="00993152">
        <w:rPr>
          <w:rFonts w:cs="Arial"/>
        </w:rPr>
        <w:t>die</w:t>
      </w:r>
      <w:r w:rsidRPr="00993152">
        <w:rPr>
          <w:rFonts w:cs="Arial"/>
        </w:rPr>
        <w:t xml:space="preserve"> </w:t>
      </w:r>
      <w:r w:rsidRPr="00993152">
        <w:rPr>
          <w:rFonts w:cs="Arial"/>
          <w:b/>
        </w:rPr>
        <w:t>vorherige Zusicherung</w:t>
      </w:r>
      <w:r w:rsidRPr="00993152">
        <w:rPr>
          <w:rFonts w:cs="Arial"/>
        </w:rPr>
        <w:t xml:space="preserve"> voraus (LSG B</w:t>
      </w:r>
      <w:r w:rsidR="009879A1" w:rsidRPr="00993152">
        <w:rPr>
          <w:rFonts w:cs="Arial"/>
        </w:rPr>
        <w:t>erlin</w:t>
      </w:r>
      <w:r w:rsidRPr="00993152">
        <w:rPr>
          <w:rFonts w:cs="Arial"/>
        </w:rPr>
        <w:t>-B</w:t>
      </w:r>
      <w:r w:rsidR="009879A1" w:rsidRPr="00993152">
        <w:rPr>
          <w:rFonts w:cs="Arial"/>
        </w:rPr>
        <w:t>randenburg</w:t>
      </w:r>
      <w:r w:rsidRPr="00993152">
        <w:rPr>
          <w:rFonts w:cs="Arial"/>
        </w:rPr>
        <w:t xml:space="preserve"> 27.10.2008 – L 5 B 2010/08 AS ER</w:t>
      </w:r>
      <w:r w:rsidR="009879A1" w:rsidRPr="00993152">
        <w:rPr>
          <w:rFonts w:cs="Arial"/>
        </w:rPr>
        <w:t>-</w:t>
      </w:r>
      <w:r w:rsidRPr="00993152">
        <w:rPr>
          <w:rFonts w:cs="Arial"/>
        </w:rPr>
        <w:t>).</w:t>
      </w:r>
    </w:p>
    <w:p w:rsidR="003611BD" w:rsidRPr="00993152" w:rsidRDefault="003611BD" w:rsidP="00A6512C">
      <w:pPr>
        <w:jc w:val="both"/>
        <w:rPr>
          <w:rFonts w:cs="Arial"/>
        </w:rPr>
      </w:pPr>
      <w:r w:rsidRPr="00993152">
        <w:rPr>
          <w:rFonts w:cs="Arial"/>
        </w:rPr>
        <w:t xml:space="preserve">Das Ermessen ist eingeschränkt, wenn der Umzug durch das Jobcenter veranlasst oder </w:t>
      </w:r>
      <w:r w:rsidR="00A6512C" w:rsidRPr="00993152">
        <w:rPr>
          <w:rFonts w:cs="Arial"/>
        </w:rPr>
        <w:t xml:space="preserve">sonst wie </w:t>
      </w:r>
      <w:r w:rsidRPr="00993152">
        <w:rPr>
          <w:rFonts w:cs="Arial"/>
        </w:rPr>
        <w:t xml:space="preserve"> notwendig ist, z.B. Arbeitsaufnahme.</w:t>
      </w:r>
    </w:p>
    <w:p w:rsidR="00A6512C" w:rsidRDefault="003611BD" w:rsidP="00A6512C">
      <w:pPr>
        <w:jc w:val="both"/>
        <w:rPr>
          <w:rFonts w:cs="Arial"/>
        </w:rPr>
      </w:pPr>
      <w:r w:rsidRPr="00993152">
        <w:rPr>
          <w:rFonts w:cs="Arial"/>
        </w:rPr>
        <w:t xml:space="preserve">Ein Umzug, der der Senkung der KdU dient, ist in der Regel nur dann vom Jobcenter veranlasst, wenn er innerhalb des Landkreises Passau erfolgt (vgl. BSG </w:t>
      </w:r>
      <w:r w:rsidR="009879A1" w:rsidRPr="00993152">
        <w:rPr>
          <w:rFonts w:cs="Arial"/>
        </w:rPr>
        <w:t>0</w:t>
      </w:r>
      <w:r w:rsidRPr="00993152">
        <w:rPr>
          <w:rFonts w:cs="Arial"/>
        </w:rPr>
        <w:t>6.05.2010 –B 14 AS 7/09 R</w:t>
      </w:r>
      <w:r w:rsidR="009879A1" w:rsidRPr="00993152">
        <w:rPr>
          <w:rFonts w:cs="Arial"/>
        </w:rPr>
        <w:t>-</w:t>
      </w:r>
      <w:r w:rsidRPr="00993152">
        <w:rPr>
          <w:rFonts w:cs="Arial"/>
        </w:rPr>
        <w:t>).</w:t>
      </w:r>
    </w:p>
    <w:p w:rsidR="00CB10D1" w:rsidRDefault="00CB10D1" w:rsidP="00A6512C">
      <w:pPr>
        <w:jc w:val="both"/>
        <w:rPr>
          <w:rFonts w:cs="Arial"/>
        </w:rPr>
      </w:pPr>
    </w:p>
    <w:p w:rsidR="00CB10D1" w:rsidRDefault="00CB10D1" w:rsidP="00A6512C">
      <w:pPr>
        <w:jc w:val="both"/>
        <w:rPr>
          <w:rFonts w:cs="Arial"/>
        </w:rPr>
      </w:pPr>
      <w:r w:rsidRPr="00CB10D1">
        <w:rPr>
          <w:rFonts w:cs="Arial"/>
        </w:rPr>
        <w:t>Die Zusicherung nach Abs. 6 ist jedoch Anspruchsvoraussetzung (BSG 07.11.2006 – B 7 b AS 10/06 R-).</w:t>
      </w:r>
    </w:p>
    <w:p w:rsidR="00567D7C" w:rsidRDefault="00567D7C" w:rsidP="00A6512C">
      <w:pPr>
        <w:jc w:val="both"/>
        <w:rPr>
          <w:rFonts w:cs="Arial"/>
        </w:rPr>
      </w:pPr>
      <w:r w:rsidRPr="00E01D59">
        <w:rPr>
          <w:rFonts w:cs="Arial"/>
        </w:rPr>
        <w:t xml:space="preserve">Ein </w:t>
      </w:r>
      <w:r w:rsidRPr="00E01D59">
        <w:rPr>
          <w:rFonts w:cs="Arial"/>
          <w:u w:val="single"/>
        </w:rPr>
        <w:t xml:space="preserve">Anspruch </w:t>
      </w:r>
      <w:r w:rsidRPr="00E01D59">
        <w:rPr>
          <w:rFonts w:cs="Arial"/>
        </w:rPr>
        <w:t xml:space="preserve">auf Übernahme setzt neben den in § 22 Abs. 6 Satz 2 genannten Voraussetzungen  auch voraus, dass die neuen KdU angemessen sind. Falls die KdU nicht angemessen sind, ist </w:t>
      </w:r>
      <w:r w:rsidRPr="00E01D59">
        <w:rPr>
          <w:rFonts w:cs="Arial"/>
          <w:u w:val="single"/>
        </w:rPr>
        <w:t>Ermessen</w:t>
      </w:r>
      <w:r w:rsidRPr="00E01D59">
        <w:rPr>
          <w:rFonts w:cs="Arial"/>
        </w:rPr>
        <w:t xml:space="preserve"> unter Berücksichtigung der Umstände des Einzelfalles nach Satz 1 auszuüben (vgl. BSG  06.08.2014 – B 14 AS 37/13 R-). </w:t>
      </w:r>
    </w:p>
    <w:p w:rsidR="00CB10D1" w:rsidRDefault="00CB10D1" w:rsidP="00A6512C">
      <w:pPr>
        <w:jc w:val="both"/>
        <w:rPr>
          <w:rFonts w:cs="Arial"/>
        </w:rPr>
      </w:pPr>
    </w:p>
    <w:p w:rsidR="00CB10D1" w:rsidRPr="007A6096" w:rsidRDefault="00CB10D1" w:rsidP="00CB10D1">
      <w:pPr>
        <w:jc w:val="both"/>
        <w:rPr>
          <w:rFonts w:cs="Arial"/>
        </w:rPr>
      </w:pPr>
      <w:r w:rsidRPr="007A6096">
        <w:rPr>
          <w:rFonts w:cs="Arial"/>
        </w:rPr>
        <w:t>Bei Nichtvorliegen der Zusicherung gemäß § 22 Abs. 6 SGB II und die fehlende Antrag-stellung vor Beauftragung der Umzugsfirma (Berlit in LPK - SGB II, 5. Auflage 2013, § 22 RdNr. 162) muss das Jobcenter keine Umzugskosten übernehmen.</w:t>
      </w:r>
    </w:p>
    <w:p w:rsidR="00CB10D1" w:rsidRPr="007A6096" w:rsidRDefault="00CB10D1" w:rsidP="00CB10D1">
      <w:pPr>
        <w:jc w:val="both"/>
        <w:rPr>
          <w:rFonts w:cs="Arial"/>
        </w:rPr>
      </w:pPr>
      <w:r w:rsidRPr="007A6096">
        <w:rPr>
          <w:rFonts w:cs="Arial"/>
        </w:rPr>
        <w:t>(vgl. auch Bayerisches LSG  20.10.2015 - L 11 AS 617/15 NZB – ).</w:t>
      </w:r>
    </w:p>
    <w:p w:rsidR="00567D7C" w:rsidRPr="00567D7C" w:rsidRDefault="00567D7C" w:rsidP="00A6512C">
      <w:pPr>
        <w:jc w:val="both"/>
        <w:rPr>
          <w:rFonts w:cs="Arial"/>
          <w:color w:val="31849B" w:themeColor="accent5" w:themeShade="BF"/>
        </w:rPr>
      </w:pPr>
    </w:p>
    <w:p w:rsidR="000D442B" w:rsidRPr="00993152" w:rsidRDefault="000D442B" w:rsidP="00A6512C">
      <w:pPr>
        <w:jc w:val="both"/>
        <w:rPr>
          <w:rFonts w:cs="Arial"/>
        </w:rPr>
      </w:pPr>
      <w:r w:rsidRPr="00993152">
        <w:rPr>
          <w:rFonts w:cs="Arial"/>
        </w:rPr>
        <w:t>Für die Notwendigkeit eines Umzuges gelten die Voraussetzungen  der Nr. 4. dieser Hinweise entsprechend.</w:t>
      </w:r>
    </w:p>
    <w:p w:rsidR="003611BD" w:rsidRPr="00993152" w:rsidRDefault="003611BD" w:rsidP="00A6512C">
      <w:pPr>
        <w:jc w:val="both"/>
        <w:rPr>
          <w:rFonts w:cs="Arial"/>
        </w:rPr>
      </w:pPr>
      <w:r w:rsidRPr="00993152">
        <w:rPr>
          <w:rFonts w:cs="Arial"/>
        </w:rPr>
        <w:t xml:space="preserve"> </w:t>
      </w:r>
    </w:p>
    <w:p w:rsidR="003611BD" w:rsidRPr="00993152" w:rsidRDefault="003611BD" w:rsidP="003611BD">
      <w:pPr>
        <w:rPr>
          <w:rFonts w:cs="Arial"/>
        </w:rPr>
      </w:pPr>
    </w:p>
    <w:p w:rsidR="003611BD" w:rsidRPr="00993152" w:rsidRDefault="003611BD" w:rsidP="003611BD">
      <w:pPr>
        <w:rPr>
          <w:rFonts w:cs="Arial"/>
        </w:rPr>
      </w:pPr>
    </w:p>
    <w:p w:rsidR="00CB1ACF" w:rsidRPr="007A6096" w:rsidRDefault="00CF2DD4" w:rsidP="002E4D9F">
      <w:pPr>
        <w:pStyle w:val="berschrift2"/>
        <w:numPr>
          <w:ilvl w:val="0"/>
          <w:numId w:val="0"/>
        </w:numPr>
        <w:ind w:left="142"/>
        <w:rPr>
          <w:sz w:val="24"/>
          <w:szCs w:val="24"/>
        </w:rPr>
      </w:pPr>
      <w:r w:rsidRPr="007A6096">
        <w:rPr>
          <w:sz w:val="24"/>
          <w:szCs w:val="24"/>
        </w:rPr>
        <w:t>6</w:t>
      </w:r>
      <w:r w:rsidR="00CB1ACF" w:rsidRPr="007A6096">
        <w:rPr>
          <w:sz w:val="24"/>
          <w:szCs w:val="24"/>
        </w:rPr>
        <w:t>.1 Wohnungsbeschaffungskosten</w:t>
      </w:r>
    </w:p>
    <w:p w:rsidR="00CB1ACF" w:rsidRPr="007A6096" w:rsidRDefault="00CB1ACF" w:rsidP="00722B92">
      <w:pPr>
        <w:jc w:val="both"/>
        <w:rPr>
          <w:rFonts w:cs="Arial"/>
        </w:rPr>
      </w:pPr>
    </w:p>
    <w:p w:rsidR="005B3010" w:rsidRDefault="00B01DFD" w:rsidP="00722B92">
      <w:pPr>
        <w:jc w:val="both"/>
        <w:rPr>
          <w:rFonts w:cs="Arial"/>
        </w:rPr>
      </w:pPr>
      <w:r w:rsidRPr="00993152">
        <w:rPr>
          <w:rFonts w:cs="Arial"/>
        </w:rPr>
        <w:t xml:space="preserve">Eine </w:t>
      </w:r>
      <w:r w:rsidR="00D45A35" w:rsidRPr="00993152">
        <w:rPr>
          <w:rFonts w:cs="Arial"/>
          <w:b/>
        </w:rPr>
        <w:t>Mietkaution</w:t>
      </w:r>
      <w:r w:rsidR="00D45A35" w:rsidRPr="00993152">
        <w:rPr>
          <w:rFonts w:cs="Arial"/>
        </w:rPr>
        <w:t xml:space="preserve"> </w:t>
      </w:r>
      <w:r w:rsidR="00924369" w:rsidRPr="00924369">
        <w:rPr>
          <w:rFonts w:cs="Arial"/>
          <w:color w:val="00B050"/>
        </w:rPr>
        <w:t>oder Genossenschaftsanteile</w:t>
      </w:r>
      <w:r w:rsidR="00924369">
        <w:rPr>
          <w:rFonts w:cs="Arial"/>
        </w:rPr>
        <w:t xml:space="preserve"> </w:t>
      </w:r>
      <w:r w:rsidR="005B3010" w:rsidRPr="007A6096">
        <w:rPr>
          <w:rFonts w:cs="Arial"/>
        </w:rPr>
        <w:t>soll</w:t>
      </w:r>
      <w:r w:rsidR="00924369">
        <w:rPr>
          <w:rFonts w:cs="Arial"/>
        </w:rPr>
        <w:t>en</w:t>
      </w:r>
      <w:r w:rsidR="005B3010" w:rsidRPr="007A6096">
        <w:rPr>
          <w:rFonts w:cs="Arial"/>
        </w:rPr>
        <w:t xml:space="preserve"> in der Regel</w:t>
      </w:r>
      <w:r w:rsidR="00D45A35" w:rsidRPr="007A6096">
        <w:rPr>
          <w:rFonts w:cs="Arial"/>
        </w:rPr>
        <w:t xml:space="preserve"> </w:t>
      </w:r>
      <w:r w:rsidR="00D45A35" w:rsidRPr="00993152">
        <w:rPr>
          <w:rFonts w:cs="Arial"/>
        </w:rPr>
        <w:t>nur dann übernommen werden, wenn die K</w:t>
      </w:r>
      <w:r w:rsidRPr="00993152">
        <w:rPr>
          <w:rFonts w:cs="Arial"/>
        </w:rPr>
        <w:t>dU</w:t>
      </w:r>
      <w:r w:rsidR="00D45A35" w:rsidRPr="00993152">
        <w:rPr>
          <w:rFonts w:cs="Arial"/>
        </w:rPr>
        <w:t xml:space="preserve"> und Heizung der neu bezogenen Wohnung </w:t>
      </w:r>
      <w:r w:rsidR="00D45A35" w:rsidRPr="00993152">
        <w:rPr>
          <w:rFonts w:cs="Arial"/>
          <w:b/>
        </w:rPr>
        <w:t>angemessen</w:t>
      </w:r>
      <w:r w:rsidR="00D45A35" w:rsidRPr="00993152">
        <w:rPr>
          <w:rFonts w:cs="Arial"/>
        </w:rPr>
        <w:t xml:space="preserve"> sind. Der Sozialleistungsträger kann nicht verpflichtet sein, den Einzug in eine unangemessen große bzw. teure Wohnung durch Übernahme der Mietkaution zu ermöglichen</w:t>
      </w:r>
      <w:r w:rsidR="005B3010">
        <w:rPr>
          <w:rFonts w:cs="Arial"/>
        </w:rPr>
        <w:t>.</w:t>
      </w:r>
    </w:p>
    <w:p w:rsidR="005B3010" w:rsidRDefault="005B3010" w:rsidP="00722B92">
      <w:pPr>
        <w:jc w:val="both"/>
        <w:rPr>
          <w:rFonts w:cs="Arial"/>
        </w:rPr>
      </w:pPr>
    </w:p>
    <w:p w:rsidR="005B3010" w:rsidRPr="007A6096" w:rsidRDefault="005B3010" w:rsidP="005B3010">
      <w:pPr>
        <w:rPr>
          <w:rFonts w:cs="Arial"/>
          <w:bCs/>
        </w:rPr>
      </w:pPr>
      <w:r w:rsidRPr="007A6096">
        <w:rPr>
          <w:rFonts w:cs="Arial"/>
        </w:rPr>
        <w:t xml:space="preserve">Das Gesetz eröffnet den Leistungsträgern  jedoch durch § 22 Abs 6 S 1 SGB II  allgemein die Möglichkeit, </w:t>
      </w:r>
      <w:r w:rsidRPr="007A6096">
        <w:rPr>
          <w:rFonts w:cs="Arial"/>
          <w:b/>
        </w:rPr>
        <w:t>Wohnungsbeschaffungs- und Umzugskosten sowie eine Mietkaution</w:t>
      </w:r>
      <w:r w:rsidRPr="007A6096">
        <w:rPr>
          <w:rFonts w:cs="Arial"/>
        </w:rPr>
        <w:t xml:space="preserve"> </w:t>
      </w:r>
      <w:r w:rsidRPr="007A6096">
        <w:rPr>
          <w:rFonts w:cs="Arial"/>
          <w:b/>
        </w:rPr>
        <w:t>auch dann zu übernehmen</w:t>
      </w:r>
      <w:r w:rsidRPr="007A6096">
        <w:rPr>
          <w:rFonts w:cs="Arial"/>
        </w:rPr>
        <w:t>, wenn der Umzug nicht vom Leistungsträger veranlasst oder sonst erforderlich ist und/oder die Mietaufwendungen für die neue Unterkunft die abstrakte Angemessenheitsgrenze überschreiten (</w:t>
      </w:r>
      <w:r w:rsidRPr="007A6096">
        <w:rPr>
          <w:rFonts w:cs="Arial"/>
          <w:bCs/>
        </w:rPr>
        <w:t>BSG 06.08.2014 - B 4 AS 37/13 R-).</w:t>
      </w:r>
    </w:p>
    <w:p w:rsidR="005B3010" w:rsidRPr="007A6096" w:rsidRDefault="005B3010" w:rsidP="005B3010">
      <w:pPr>
        <w:rPr>
          <w:rFonts w:cs="Arial"/>
        </w:rPr>
      </w:pPr>
      <w:r w:rsidRPr="007A6096">
        <w:rPr>
          <w:rFonts w:cs="Arial"/>
          <w:bCs/>
        </w:rPr>
        <w:t>In Einzelfällen (z.B. kein Schulwechsel von Kindern, Arbeitsaufnahme am Ort der neuen Wohnung usw.) können wir daher selbst bei unangemessenen KdU eine Kaution bewilligen.</w:t>
      </w:r>
    </w:p>
    <w:p w:rsidR="00D45A35" w:rsidRPr="00993152" w:rsidRDefault="00D45A35" w:rsidP="00722B92">
      <w:pPr>
        <w:jc w:val="both"/>
        <w:rPr>
          <w:rFonts w:cs="Arial"/>
        </w:rPr>
      </w:pPr>
    </w:p>
    <w:p w:rsidR="00D45A35" w:rsidRPr="00993152" w:rsidRDefault="00D45A35" w:rsidP="00722B92">
      <w:pPr>
        <w:jc w:val="both"/>
        <w:rPr>
          <w:rFonts w:cs="Arial"/>
        </w:rPr>
      </w:pPr>
    </w:p>
    <w:p w:rsidR="00D45A35" w:rsidRPr="00993152" w:rsidRDefault="00D45A35" w:rsidP="00722B92">
      <w:pPr>
        <w:jc w:val="both"/>
        <w:rPr>
          <w:rFonts w:cs="Arial"/>
        </w:rPr>
      </w:pPr>
      <w:r w:rsidRPr="00993152">
        <w:rPr>
          <w:rFonts w:cs="Arial"/>
        </w:rPr>
        <w:t xml:space="preserve">Die Übernahme einer Mietkaution ist an die </w:t>
      </w:r>
      <w:r w:rsidRPr="00993152">
        <w:rPr>
          <w:rFonts w:cs="Arial"/>
          <w:b/>
        </w:rPr>
        <w:t>vorherige</w:t>
      </w:r>
      <w:r w:rsidRPr="00993152">
        <w:rPr>
          <w:rFonts w:cs="Arial"/>
        </w:rPr>
        <w:t xml:space="preserve"> Zusicherung des Leistungserbringers geknüpft. Dass dem Hilfebedürftigen bei Nichtzahlung der vereinbarten Kaution die Kündigung droht, ist die vom Gesetzgeber  in Kauf genommene Folge und rechtfertigt keine abweichende Beurteilung (LSG B</w:t>
      </w:r>
      <w:r w:rsidR="009879A1" w:rsidRPr="00993152">
        <w:rPr>
          <w:rFonts w:cs="Arial"/>
        </w:rPr>
        <w:t>erlin</w:t>
      </w:r>
      <w:r w:rsidRPr="00993152">
        <w:rPr>
          <w:rFonts w:cs="Arial"/>
        </w:rPr>
        <w:t>-B</w:t>
      </w:r>
      <w:r w:rsidR="009879A1" w:rsidRPr="00993152">
        <w:rPr>
          <w:rFonts w:cs="Arial"/>
        </w:rPr>
        <w:t>randenburg</w:t>
      </w:r>
      <w:r w:rsidRPr="00993152">
        <w:rPr>
          <w:rFonts w:cs="Arial"/>
        </w:rPr>
        <w:t xml:space="preserve"> 16.06.2006 – L 10 B 488/06 AS ER</w:t>
      </w:r>
      <w:r w:rsidR="009879A1" w:rsidRPr="00993152">
        <w:rPr>
          <w:rFonts w:cs="Arial"/>
        </w:rPr>
        <w:t>-</w:t>
      </w:r>
      <w:r w:rsidRPr="00993152">
        <w:rPr>
          <w:rFonts w:cs="Arial"/>
        </w:rPr>
        <w:t>)</w:t>
      </w:r>
      <w:r w:rsidR="00CF2F85" w:rsidRPr="00993152">
        <w:rPr>
          <w:rFonts w:cs="Arial"/>
        </w:rPr>
        <w:t>.</w:t>
      </w:r>
    </w:p>
    <w:p w:rsidR="006C0DF2" w:rsidRPr="00993152" w:rsidRDefault="006C0DF2" w:rsidP="00722B92">
      <w:pPr>
        <w:jc w:val="both"/>
        <w:rPr>
          <w:rFonts w:cs="Arial"/>
          <w:i/>
          <w:sz w:val="20"/>
          <w:szCs w:val="20"/>
        </w:rPr>
      </w:pPr>
      <w:r w:rsidRPr="00993152">
        <w:t xml:space="preserve">Eine Mietkaution kann demnach nicht übernommen werden, wenn das Jobcenter </w:t>
      </w:r>
      <w:r w:rsidRPr="00993152">
        <w:rPr>
          <w:rFonts w:cs="Arial"/>
        </w:rPr>
        <w:t xml:space="preserve">Passau Land die Zusicherung vorher, das heißt vor vertraglicher Begründung der zu übernehmenden Mietkaution (also etwa vor Abschluss eines Mietvertrages), nicht erteilt hat </w:t>
      </w:r>
      <w:r w:rsidRPr="00993152">
        <w:rPr>
          <w:rFonts w:cs="Arial"/>
          <w:i/>
          <w:sz w:val="20"/>
          <w:szCs w:val="20"/>
        </w:rPr>
        <w:t>(TB § 22 SGB II -42).</w:t>
      </w:r>
    </w:p>
    <w:p w:rsidR="00674CB3" w:rsidRPr="00993152" w:rsidRDefault="00674CB3" w:rsidP="00722B92">
      <w:pPr>
        <w:jc w:val="both"/>
        <w:rPr>
          <w:rFonts w:cs="Arial"/>
        </w:rPr>
      </w:pPr>
      <w:r w:rsidRPr="00993152">
        <w:rPr>
          <w:rFonts w:cs="Arial"/>
        </w:rPr>
        <w:t xml:space="preserve">Fehlt die Zustimmung des abgebenden Jobcenters zum Umzug, bedeutet dies nicht automatisch, dass die Übernahme einer Mietkaution ausgeschlossen ist. Die Übernahme der Mietkaution steht im Ermessen des aufnehmenden Jobcenters.  </w:t>
      </w:r>
    </w:p>
    <w:p w:rsidR="00CF2F85" w:rsidRPr="00993152" w:rsidRDefault="00CF2F85" w:rsidP="00722B92">
      <w:pPr>
        <w:jc w:val="both"/>
        <w:rPr>
          <w:rFonts w:cs="Arial"/>
        </w:rPr>
      </w:pPr>
    </w:p>
    <w:p w:rsidR="00CF2F85" w:rsidRPr="00993152" w:rsidRDefault="004256AA" w:rsidP="00722B92">
      <w:pPr>
        <w:jc w:val="both"/>
        <w:rPr>
          <w:rFonts w:cs="Arial"/>
          <w:i/>
          <w:sz w:val="20"/>
          <w:szCs w:val="20"/>
        </w:rPr>
      </w:pPr>
      <w:r w:rsidRPr="00993152">
        <w:rPr>
          <w:rFonts w:cs="Arial"/>
        </w:rPr>
        <w:t>Die</w:t>
      </w:r>
      <w:r w:rsidR="00CF2F85" w:rsidRPr="00993152">
        <w:rPr>
          <w:rFonts w:cs="Arial"/>
        </w:rPr>
        <w:t xml:space="preserve"> Mietkaution </w:t>
      </w:r>
      <w:r w:rsidRPr="00993152">
        <w:rPr>
          <w:rFonts w:cs="Arial"/>
        </w:rPr>
        <w:t>wird</w:t>
      </w:r>
      <w:r w:rsidR="00CF2F85" w:rsidRPr="00993152">
        <w:rPr>
          <w:rFonts w:cs="Arial"/>
        </w:rPr>
        <w:t xml:space="preserve"> gem. </w:t>
      </w:r>
      <w:r w:rsidRPr="00993152">
        <w:rPr>
          <w:rFonts w:cs="Arial"/>
        </w:rPr>
        <w:t xml:space="preserve">Satz 3 als </w:t>
      </w:r>
      <w:r w:rsidR="00CF2F85" w:rsidRPr="00993152">
        <w:rPr>
          <w:rFonts w:cs="Arial"/>
        </w:rPr>
        <w:t xml:space="preserve"> </w:t>
      </w:r>
      <w:r w:rsidR="00CF2F85" w:rsidRPr="00993152">
        <w:rPr>
          <w:rFonts w:cs="Arial"/>
          <w:b/>
        </w:rPr>
        <w:t>Darlehen</w:t>
      </w:r>
      <w:r w:rsidR="00CF2F85" w:rsidRPr="00993152">
        <w:rPr>
          <w:rFonts w:cs="Arial"/>
        </w:rPr>
        <w:t xml:space="preserve"> </w:t>
      </w:r>
      <w:r w:rsidRPr="00993152">
        <w:rPr>
          <w:rFonts w:cs="Arial"/>
        </w:rPr>
        <w:t>gewährt</w:t>
      </w:r>
      <w:r w:rsidR="00CF2F85" w:rsidRPr="00993152">
        <w:rPr>
          <w:rFonts w:cs="Arial"/>
        </w:rPr>
        <w:t xml:space="preserve"> </w:t>
      </w:r>
      <w:r w:rsidR="00CF2F85" w:rsidRPr="00993152">
        <w:rPr>
          <w:rFonts w:cs="Arial"/>
          <w:i/>
          <w:sz w:val="20"/>
          <w:szCs w:val="20"/>
        </w:rPr>
        <w:t>(TB § 22 SGB II -40 und 41).</w:t>
      </w:r>
    </w:p>
    <w:p w:rsidR="00FC4B5D" w:rsidRPr="00993152" w:rsidRDefault="00FC4B5D" w:rsidP="00722B92">
      <w:pPr>
        <w:jc w:val="both"/>
        <w:rPr>
          <w:rFonts w:cs="Arial"/>
        </w:rPr>
      </w:pPr>
      <w:r w:rsidRPr="00993152">
        <w:rPr>
          <w:rFonts w:cs="Arial"/>
        </w:rPr>
        <w:t>Voraussetzung für die Gewährung eines Darlehen ist jedoch gem. § 42a Abs. 1 Satz 1 SGB II, das der Bedarf weder durch Vermögen nach § 12 Abs. 2 Nr. 1,1a, 4 SGB II noch auf andere Weise gedeckt werden kann. Ein Darlehen darf also nur dann bewilligt werden, wenn der Grundfreibetrag sowie der Freibetrag für Anschaffungen vollständig verbraucht wurde (vgl. Conradis in LPK SGB II, 4. Auflage 2011, § 42a RdNr. 5).</w:t>
      </w:r>
    </w:p>
    <w:p w:rsidR="00CF2F85" w:rsidRPr="00993152" w:rsidRDefault="00CF2F85" w:rsidP="00722B92">
      <w:pPr>
        <w:pStyle w:val="Default"/>
        <w:jc w:val="both"/>
        <w:rPr>
          <w:color w:val="auto"/>
          <w:sz w:val="22"/>
          <w:szCs w:val="22"/>
        </w:rPr>
      </w:pPr>
      <w:r w:rsidRPr="00993152">
        <w:rPr>
          <w:color w:val="auto"/>
          <w:sz w:val="22"/>
          <w:szCs w:val="22"/>
        </w:rPr>
        <w:t xml:space="preserve">Solange Darlehensnehmer Leistungen beziehen, wird die Schuld, durch monatliche </w:t>
      </w:r>
      <w:r w:rsidRPr="00993152">
        <w:rPr>
          <w:b/>
          <w:color w:val="auto"/>
          <w:sz w:val="22"/>
          <w:szCs w:val="22"/>
        </w:rPr>
        <w:t xml:space="preserve">Aufrechnung </w:t>
      </w:r>
      <w:r w:rsidRPr="00993152">
        <w:rPr>
          <w:color w:val="auto"/>
          <w:sz w:val="22"/>
          <w:szCs w:val="22"/>
        </w:rPr>
        <w:t>in Höhe von 10 Prozent des maßgebenden Regelbedarfs getilgt (§ 42a Abs. 2 Satz 1 SGB II).</w:t>
      </w:r>
    </w:p>
    <w:p w:rsidR="00CF2F85" w:rsidRPr="00993152" w:rsidRDefault="00CF2F85" w:rsidP="00722B92">
      <w:pPr>
        <w:jc w:val="both"/>
        <w:rPr>
          <w:rFonts w:cs="Arial"/>
        </w:rPr>
      </w:pPr>
    </w:p>
    <w:p w:rsidR="00CF2F85" w:rsidRPr="00993152" w:rsidRDefault="00CF2F85" w:rsidP="00722B92">
      <w:pPr>
        <w:jc w:val="both"/>
        <w:rPr>
          <w:rFonts w:cs="Arial"/>
        </w:rPr>
      </w:pPr>
    </w:p>
    <w:p w:rsidR="00CF2F85" w:rsidRPr="00993152" w:rsidRDefault="00CF2F85" w:rsidP="00722B92">
      <w:pPr>
        <w:jc w:val="both"/>
        <w:rPr>
          <w:rFonts w:cs="Arial"/>
          <w:b/>
        </w:rPr>
      </w:pPr>
      <w:r w:rsidRPr="00993152">
        <w:rPr>
          <w:rFonts w:cs="Arial"/>
          <w:b/>
        </w:rPr>
        <w:t>Maklergebühren</w:t>
      </w:r>
      <w:r w:rsidR="00B01DFD" w:rsidRPr="00993152">
        <w:rPr>
          <w:rFonts w:cs="Arial"/>
          <w:b/>
        </w:rPr>
        <w:t xml:space="preserve"> </w:t>
      </w:r>
      <w:r w:rsidR="00141218" w:rsidRPr="00993152">
        <w:rPr>
          <w:rFonts w:cs="Arial"/>
          <w:b/>
        </w:rPr>
        <w:t xml:space="preserve">können in Ausnahmefällen zu den Wohnungsbeschaffungskosten </w:t>
      </w:r>
      <w:r w:rsidR="00B01DFD" w:rsidRPr="00993152">
        <w:rPr>
          <w:rFonts w:cs="Arial"/>
        </w:rPr>
        <w:t>gehören</w:t>
      </w:r>
      <w:r w:rsidR="00141218" w:rsidRPr="00993152">
        <w:rPr>
          <w:rFonts w:cs="Arial"/>
        </w:rPr>
        <w:t>, wenn die Beauftragung eines Maklers zum Finden und Anmieten einer angemessenen Wohnung unvermeidbar ist (vgl. BSG 18.02.2010 –B 4 AS 28/09 R-).</w:t>
      </w:r>
    </w:p>
    <w:p w:rsidR="00CF2F85" w:rsidRPr="00993152" w:rsidRDefault="00CF2F85" w:rsidP="00722B92">
      <w:pPr>
        <w:jc w:val="both"/>
        <w:rPr>
          <w:rFonts w:cs="Arial"/>
        </w:rPr>
      </w:pPr>
      <w:r w:rsidRPr="00993152">
        <w:rPr>
          <w:rFonts w:cs="Arial"/>
        </w:rPr>
        <w:t>Im Landkreis Passau sind</w:t>
      </w:r>
      <w:r w:rsidR="00B01DFD" w:rsidRPr="00993152">
        <w:rPr>
          <w:rFonts w:cs="Arial"/>
        </w:rPr>
        <w:t xml:space="preserve"> jedoch</w:t>
      </w:r>
      <w:r w:rsidRPr="00993152">
        <w:rPr>
          <w:rFonts w:cs="Arial"/>
        </w:rPr>
        <w:t xml:space="preserve"> hinreichend nicht maklergebundene Wohnungen innerhalb der Richtwerte auf dem Markt, so dass hier </w:t>
      </w:r>
      <w:r w:rsidR="00141218" w:rsidRPr="00993152">
        <w:rPr>
          <w:rFonts w:cs="Arial"/>
        </w:rPr>
        <w:t xml:space="preserve">im Regelfall </w:t>
      </w:r>
      <w:r w:rsidRPr="00993152">
        <w:rPr>
          <w:rFonts w:cs="Arial"/>
        </w:rPr>
        <w:t>kein Anspruch auf die Übernahme von Maklergebühren besteht</w:t>
      </w:r>
      <w:r w:rsidR="00141218" w:rsidRPr="00993152">
        <w:rPr>
          <w:rFonts w:cs="Arial"/>
        </w:rPr>
        <w:t>.</w:t>
      </w:r>
      <w:r w:rsidRPr="00993152">
        <w:rPr>
          <w:rFonts w:cs="Arial"/>
        </w:rPr>
        <w:t xml:space="preserve"> </w:t>
      </w:r>
    </w:p>
    <w:p w:rsidR="00840E28" w:rsidRPr="00993152" w:rsidRDefault="00840E28" w:rsidP="00722B92">
      <w:pPr>
        <w:jc w:val="both"/>
        <w:rPr>
          <w:rFonts w:cs="Arial"/>
        </w:rPr>
      </w:pPr>
    </w:p>
    <w:p w:rsidR="00840E28" w:rsidRPr="00993152" w:rsidRDefault="00840E28" w:rsidP="00722B92">
      <w:pPr>
        <w:jc w:val="both"/>
        <w:rPr>
          <w:rFonts w:cs="Arial"/>
        </w:rPr>
      </w:pPr>
      <w:r w:rsidRPr="00993152">
        <w:rPr>
          <w:rFonts w:cs="Arial"/>
        </w:rPr>
        <w:t>Nicht unter Wohnungsbeschaffungskosten fallen die Aufwendungen für eine Ein- oder Auszugsrenovierung; sie können aber Bestandteil der KdU nach § 22 Abs. 1 Satz 1 SGB II sein (siehe hierzu Ausführungen unter Kapitel I zu Nr. 1.3).</w:t>
      </w:r>
    </w:p>
    <w:p w:rsidR="00CF2F85" w:rsidRPr="00993152" w:rsidRDefault="00CF2F85" w:rsidP="00722B92">
      <w:pPr>
        <w:jc w:val="both"/>
        <w:rPr>
          <w:rFonts w:cs="Arial"/>
        </w:rPr>
      </w:pPr>
      <w:r w:rsidRPr="00993152">
        <w:rPr>
          <w:rFonts w:cs="Arial"/>
        </w:rPr>
        <w:t xml:space="preserve">  </w:t>
      </w:r>
    </w:p>
    <w:p w:rsidR="00CB1ACF" w:rsidRPr="00D202DC" w:rsidRDefault="00CF2DD4" w:rsidP="002E4D9F">
      <w:pPr>
        <w:pStyle w:val="berschrift2"/>
        <w:numPr>
          <w:ilvl w:val="0"/>
          <w:numId w:val="0"/>
        </w:numPr>
        <w:ind w:left="142"/>
        <w:rPr>
          <w:color w:val="00B050"/>
          <w:sz w:val="24"/>
          <w:szCs w:val="24"/>
        </w:rPr>
      </w:pPr>
      <w:r w:rsidRPr="00D202DC">
        <w:rPr>
          <w:color w:val="00B050"/>
          <w:sz w:val="24"/>
          <w:szCs w:val="24"/>
        </w:rPr>
        <w:lastRenderedPageBreak/>
        <w:t>6</w:t>
      </w:r>
      <w:r w:rsidR="00CB1ACF" w:rsidRPr="00D202DC">
        <w:rPr>
          <w:color w:val="00B050"/>
          <w:sz w:val="24"/>
          <w:szCs w:val="24"/>
        </w:rPr>
        <w:t>.2 Umzugskosten</w:t>
      </w:r>
    </w:p>
    <w:p w:rsidR="004C03B1" w:rsidRPr="00993152" w:rsidRDefault="004C03B1" w:rsidP="00722B92">
      <w:pPr>
        <w:jc w:val="both"/>
        <w:rPr>
          <w:rFonts w:cs="Arial"/>
        </w:rPr>
      </w:pPr>
    </w:p>
    <w:p w:rsidR="0029619B" w:rsidRPr="00993152" w:rsidRDefault="003611BD" w:rsidP="00722B92">
      <w:pPr>
        <w:jc w:val="both"/>
        <w:rPr>
          <w:rFonts w:cs="Arial"/>
        </w:rPr>
      </w:pPr>
      <w:r w:rsidRPr="00993152">
        <w:rPr>
          <w:rFonts w:cs="Arial"/>
        </w:rPr>
        <w:t>Die in § 2 SGB II zum Ausdruck gekommene Obliegenheit zur Eigenaktivität kann als Auslegungshilfe bei der Anwendung und Interpretation aller Regelungen, die Rechte und Pflichten der L</w:t>
      </w:r>
      <w:r w:rsidR="0029619B" w:rsidRPr="00993152">
        <w:rPr>
          <w:rFonts w:cs="Arial"/>
        </w:rPr>
        <w:t>B</w:t>
      </w:r>
      <w:r w:rsidRPr="00993152">
        <w:rPr>
          <w:rFonts w:cs="Arial"/>
        </w:rPr>
        <w:t xml:space="preserve"> normieren, herangezogen werden</w:t>
      </w:r>
      <w:r w:rsidR="000D442B" w:rsidRPr="00993152">
        <w:rPr>
          <w:rFonts w:cs="Arial"/>
        </w:rPr>
        <w:t>.</w:t>
      </w:r>
      <w:r w:rsidRPr="00993152">
        <w:rPr>
          <w:rStyle w:val="Hervorhebung"/>
          <w:rFonts w:cs="Arial"/>
        </w:rPr>
        <w:t xml:space="preserve"> </w:t>
      </w:r>
      <w:r w:rsidRPr="00993152">
        <w:rPr>
          <w:rFonts w:cs="Arial"/>
        </w:rPr>
        <w:t xml:space="preserve">Hieraus ist abzuleiten, dass der </w:t>
      </w:r>
      <w:r w:rsidR="000D442B" w:rsidRPr="00993152">
        <w:rPr>
          <w:rFonts w:cs="Arial"/>
        </w:rPr>
        <w:t>LB</w:t>
      </w:r>
      <w:r w:rsidRPr="00993152">
        <w:rPr>
          <w:rFonts w:cs="Arial"/>
        </w:rPr>
        <w:t xml:space="preserve"> im Rahmen eines aus Steuermitteln finanzierten Fürsorgesystems gehalten ist, einen </w:t>
      </w:r>
      <w:r w:rsidRPr="00993152">
        <w:rPr>
          <w:rFonts w:cs="Arial"/>
          <w:b/>
        </w:rPr>
        <w:t>Umzug grundsätzlich selbst zu organisieren und durchzuführen</w:t>
      </w:r>
      <w:r w:rsidRPr="00993152">
        <w:rPr>
          <w:rFonts w:cs="Arial"/>
        </w:rPr>
        <w:t>.</w:t>
      </w:r>
      <w:r w:rsidRPr="00993152">
        <w:rPr>
          <w:rFonts w:cs="Arial"/>
          <w:sz w:val="20"/>
          <w:szCs w:val="20"/>
        </w:rPr>
        <w:t xml:space="preserve"> </w:t>
      </w:r>
      <w:r w:rsidRPr="00993152">
        <w:rPr>
          <w:rFonts w:cs="Arial"/>
        </w:rPr>
        <w:t xml:space="preserve">Insbesondere besteht bei Umzügen im Regelungsbereich des SGB II eine Obliegenheit, die </w:t>
      </w:r>
      <w:r w:rsidRPr="00993152">
        <w:rPr>
          <w:rFonts w:cs="Arial"/>
          <w:b/>
        </w:rPr>
        <w:t>Kosten</w:t>
      </w:r>
      <w:r w:rsidRPr="00993152">
        <w:rPr>
          <w:rFonts w:cs="Arial"/>
        </w:rPr>
        <w:t xml:space="preserve"> eines Umzugs </w:t>
      </w:r>
      <w:r w:rsidRPr="00993152">
        <w:rPr>
          <w:rFonts w:cs="Arial"/>
          <w:b/>
        </w:rPr>
        <w:t>möglichst gering</w:t>
      </w:r>
      <w:r w:rsidRPr="00993152">
        <w:rPr>
          <w:rFonts w:cs="Arial"/>
        </w:rPr>
        <w:t xml:space="preserve"> zu halten. Dieser ist daher im Regelfall selbstorganisiert durchzuführen unter Hinzuziehung von </w:t>
      </w:r>
      <w:r w:rsidRPr="00993152">
        <w:rPr>
          <w:rFonts w:cs="Arial"/>
          <w:b/>
        </w:rPr>
        <w:t>Hilfskräften und Mietwagen</w:t>
      </w:r>
      <w:r w:rsidRPr="00993152">
        <w:rPr>
          <w:rFonts w:cs="Arial"/>
        </w:rPr>
        <w:t>.</w:t>
      </w:r>
    </w:p>
    <w:p w:rsidR="003611BD" w:rsidRPr="00993152" w:rsidRDefault="003611BD" w:rsidP="00722B92">
      <w:pPr>
        <w:jc w:val="both"/>
        <w:rPr>
          <w:rFonts w:cs="Arial"/>
        </w:rPr>
      </w:pPr>
      <w:r w:rsidRPr="00993152">
        <w:rPr>
          <w:rFonts w:cs="Arial"/>
          <w:b/>
        </w:rPr>
        <w:t>Lediglich in Ausnahmefällen</w:t>
      </w:r>
      <w:r w:rsidRPr="00993152">
        <w:rPr>
          <w:rFonts w:cs="Arial"/>
        </w:rPr>
        <w:t xml:space="preserve"> (Alter, Behinderung, Vorhandensein von Kleinkindern etc.) kommt die Übernahme der Kosten eines professionellen </w:t>
      </w:r>
      <w:r w:rsidRPr="00993152">
        <w:rPr>
          <w:rFonts w:cs="Arial"/>
          <w:b/>
        </w:rPr>
        <w:t>Umzugsunternehmens</w:t>
      </w:r>
      <w:r w:rsidRPr="00993152">
        <w:rPr>
          <w:rFonts w:cs="Arial"/>
        </w:rPr>
        <w:t xml:space="preserve"> in Betracht</w:t>
      </w:r>
    </w:p>
    <w:p w:rsidR="003611BD" w:rsidRPr="00993152" w:rsidRDefault="0029619B" w:rsidP="00722B92">
      <w:pPr>
        <w:jc w:val="both"/>
        <w:rPr>
          <w:rFonts w:ascii="Verdana" w:hAnsi="Verdana"/>
        </w:rPr>
      </w:pPr>
      <w:r w:rsidRPr="00993152">
        <w:rPr>
          <w:rFonts w:cs="Arial"/>
        </w:rPr>
        <w:t>(</w:t>
      </w:r>
      <w:r w:rsidR="003611BD" w:rsidRPr="00993152">
        <w:rPr>
          <w:rFonts w:cs="Arial"/>
        </w:rPr>
        <w:t>BSG 06.05.2010 - B 14 AS 7/09 R</w:t>
      </w:r>
      <w:r w:rsidR="0035461B" w:rsidRPr="00993152">
        <w:rPr>
          <w:rFonts w:cs="Arial"/>
        </w:rPr>
        <w:t>-</w:t>
      </w:r>
      <w:r w:rsidRPr="00993152">
        <w:rPr>
          <w:rFonts w:cs="Arial"/>
        </w:rPr>
        <w:t>).</w:t>
      </w:r>
    </w:p>
    <w:p w:rsidR="004C03B1" w:rsidRPr="00993152" w:rsidRDefault="004C03B1" w:rsidP="00722B92">
      <w:pPr>
        <w:jc w:val="both"/>
        <w:rPr>
          <w:rFonts w:ascii="Verdana" w:hAnsi="Verdana"/>
        </w:rPr>
      </w:pPr>
    </w:p>
    <w:p w:rsidR="004C03B1" w:rsidRPr="00993152" w:rsidRDefault="004C03B1" w:rsidP="00722B92">
      <w:pPr>
        <w:jc w:val="both"/>
        <w:rPr>
          <w:rFonts w:cs="Arial"/>
        </w:rPr>
      </w:pPr>
      <w:r w:rsidRPr="00993152">
        <w:rPr>
          <w:rFonts w:cs="Arial"/>
        </w:rPr>
        <w:t>Vergleichsmaßstab ist somit, wie auch ein Nichtleistungsempfänger mit niedrigen Einkommen seinen Umzug durchführen würde.</w:t>
      </w:r>
    </w:p>
    <w:p w:rsidR="0029619B" w:rsidRPr="00993152" w:rsidRDefault="0029619B" w:rsidP="00722B92">
      <w:pPr>
        <w:jc w:val="both"/>
        <w:rPr>
          <w:rFonts w:cs="Arial"/>
        </w:rPr>
      </w:pPr>
    </w:p>
    <w:p w:rsidR="0029619B" w:rsidRPr="00993152" w:rsidRDefault="00F94777" w:rsidP="00722B92">
      <w:pPr>
        <w:jc w:val="both"/>
        <w:rPr>
          <w:rFonts w:cs="Arial"/>
        </w:rPr>
      </w:pPr>
      <w:r w:rsidRPr="00993152">
        <w:rPr>
          <w:rFonts w:cs="Arial"/>
        </w:rPr>
        <w:t>Erfahrungswerte zeigen, dass innerhalb</w:t>
      </w:r>
      <w:r w:rsidR="0029619B" w:rsidRPr="00993152">
        <w:rPr>
          <w:rFonts w:cs="Arial"/>
        </w:rPr>
        <w:t xml:space="preserve"> des Landkreises Passau  ein selbstorganisierter Umzug einer 2-3 Personen BG  mit Hilfe von </w:t>
      </w:r>
      <w:r w:rsidR="00CB1ACF" w:rsidRPr="00993152">
        <w:rPr>
          <w:rFonts w:cs="Arial"/>
        </w:rPr>
        <w:t>Verwandten</w:t>
      </w:r>
      <w:r w:rsidR="0029619B" w:rsidRPr="00993152">
        <w:rPr>
          <w:rFonts w:cs="Arial"/>
        </w:rPr>
        <w:t xml:space="preserve"> und  </w:t>
      </w:r>
      <w:r w:rsidR="00CB1ACF" w:rsidRPr="00993152">
        <w:rPr>
          <w:rFonts w:cs="Arial"/>
        </w:rPr>
        <w:t>Bekannten</w:t>
      </w:r>
      <w:r w:rsidR="0029619B" w:rsidRPr="00993152">
        <w:rPr>
          <w:rFonts w:cs="Arial"/>
        </w:rPr>
        <w:t xml:space="preserve">  mit ca. 300- 400 EUR durch</w:t>
      </w:r>
      <w:r w:rsidRPr="00993152">
        <w:rPr>
          <w:rFonts w:cs="Arial"/>
        </w:rPr>
        <w:t>geführt werden kann</w:t>
      </w:r>
      <w:r w:rsidR="00CB1ACF" w:rsidRPr="00993152">
        <w:rPr>
          <w:rFonts w:cs="Arial"/>
        </w:rPr>
        <w:t xml:space="preserve"> </w:t>
      </w:r>
      <w:r w:rsidR="0029619B" w:rsidRPr="00993152">
        <w:rPr>
          <w:rFonts w:cs="Arial"/>
        </w:rPr>
        <w:t>(Miete Kleintransporter ca. 100 -200  EUR, Spritkosten ca. 50 -100 EUR,  5 EUR pro Stunde und Helfer</w:t>
      </w:r>
      <w:r w:rsidR="00CB1ACF" w:rsidRPr="00993152">
        <w:rPr>
          <w:rFonts w:cs="Arial"/>
        </w:rPr>
        <w:t xml:space="preserve"> als „Bewirtungskosten“</w:t>
      </w:r>
      <w:r w:rsidR="0029619B" w:rsidRPr="00993152">
        <w:rPr>
          <w:rFonts w:cs="Arial"/>
        </w:rPr>
        <w:t>)</w:t>
      </w:r>
      <w:r w:rsidR="00CB1ACF" w:rsidRPr="00993152">
        <w:rPr>
          <w:rFonts w:cs="Arial"/>
        </w:rPr>
        <w:t>.</w:t>
      </w:r>
    </w:p>
    <w:p w:rsidR="00CB1ACF" w:rsidRPr="00993152" w:rsidRDefault="00CB1ACF" w:rsidP="00722B92">
      <w:pPr>
        <w:jc w:val="both"/>
        <w:rPr>
          <w:rFonts w:cs="Arial"/>
        </w:rPr>
      </w:pPr>
      <w:r w:rsidRPr="00993152">
        <w:rPr>
          <w:rFonts w:cs="Arial"/>
        </w:rPr>
        <w:t>An die Vorlage von Nachweisen für selbstorganisierte Umzüge sind keine überspannten Anforderungen zu stellen</w:t>
      </w:r>
      <w:r w:rsidR="00A54B9E" w:rsidRPr="00993152">
        <w:rPr>
          <w:rFonts w:cs="Arial"/>
        </w:rPr>
        <w:t xml:space="preserve"> (z.B</w:t>
      </w:r>
      <w:r w:rsidRPr="00993152">
        <w:rPr>
          <w:rFonts w:cs="Arial"/>
        </w:rPr>
        <w:t>.</w:t>
      </w:r>
      <w:r w:rsidR="00A54B9E" w:rsidRPr="00993152">
        <w:rPr>
          <w:rFonts w:cs="Arial"/>
        </w:rPr>
        <w:t xml:space="preserve"> ist hier kein Kostenvoranschlag nötig). </w:t>
      </w:r>
    </w:p>
    <w:p w:rsidR="00CB1ACF" w:rsidRPr="00993152" w:rsidRDefault="00CB1ACF" w:rsidP="00722B92">
      <w:pPr>
        <w:jc w:val="both"/>
        <w:rPr>
          <w:rFonts w:cs="Arial"/>
        </w:rPr>
      </w:pPr>
      <w:r w:rsidRPr="00993152">
        <w:rPr>
          <w:rFonts w:cs="Arial"/>
        </w:rPr>
        <w:t>Bei einer ausnahmsweisen Beauftragung von Umzugsunternehmen sind jedoch mindestens 2 Kostenvoranschläge einzuholen.</w:t>
      </w:r>
    </w:p>
    <w:p w:rsidR="00840E28" w:rsidRPr="00993152" w:rsidRDefault="00840E28" w:rsidP="00722B92">
      <w:pPr>
        <w:jc w:val="both"/>
        <w:rPr>
          <w:rFonts w:cs="Arial"/>
        </w:rPr>
      </w:pPr>
    </w:p>
    <w:p w:rsidR="00840E28" w:rsidRPr="000233E4" w:rsidRDefault="00840E28" w:rsidP="000233E4">
      <w:pPr>
        <w:jc w:val="both"/>
        <w:rPr>
          <w:rFonts w:cs="Arial"/>
          <w:color w:val="00B050"/>
        </w:rPr>
      </w:pPr>
      <w:r w:rsidRPr="00993152">
        <w:rPr>
          <w:rFonts w:cs="Arial"/>
        </w:rPr>
        <w:t>Umzugskosten können sein: Kosten für Transport,</w:t>
      </w:r>
      <w:r w:rsidR="00E82B9B">
        <w:rPr>
          <w:rFonts w:cs="Arial"/>
        </w:rPr>
        <w:t xml:space="preserve"> </w:t>
      </w:r>
      <w:r w:rsidR="00E82B9B" w:rsidRPr="007A6096">
        <w:rPr>
          <w:rFonts w:cs="Arial"/>
        </w:rPr>
        <w:t>Bei Umzügen ohne Möbel (z.B. Auszug aus Sammelunterkunft und Einzug in Mietwohnung) die Fahrkosten  zum neuen Wohnort</w:t>
      </w:r>
      <w:r w:rsidR="00E82B9B">
        <w:rPr>
          <w:rFonts w:cs="Arial"/>
        </w:rPr>
        <w:t>,</w:t>
      </w:r>
      <w:r w:rsidRPr="00993152">
        <w:rPr>
          <w:rFonts w:cs="Arial"/>
        </w:rPr>
        <w:t xml:space="preserve"> Hilfskräfte, erforderliche Versicherungen, Benzin, Verpackungsmaterial, umzugsbedingte Sperrmüllentsorgung (aber keine Entrümpelung einer „Messie-Wohnung“) usw.</w:t>
      </w:r>
      <w:r w:rsidR="000233E4" w:rsidRPr="000233E4">
        <w:t xml:space="preserve"> </w:t>
      </w:r>
      <w:r w:rsidR="000233E4" w:rsidRPr="000233E4">
        <w:rPr>
          <w:color w:val="00B050"/>
        </w:rPr>
        <w:t xml:space="preserve">Bei einem vom JC </w:t>
      </w:r>
      <w:r w:rsidR="000233E4" w:rsidRPr="000233E4">
        <w:rPr>
          <w:rFonts w:cs="Arial"/>
          <w:color w:val="00B050"/>
        </w:rPr>
        <w:t>veranlassten Umzug zählen auch Kosten für die Umstellung des Telefon- und Internetanschlusses und für einen Postnachsendeauftrag zu den berücksichtigungsfähigen unmittelbaren Umzugskosten (BSG 10.08.2016 - B 14 AS 58/15 R-).</w:t>
      </w:r>
    </w:p>
    <w:p w:rsidR="00184EE5" w:rsidRPr="00993152" w:rsidRDefault="00184EE5" w:rsidP="00722B92">
      <w:pPr>
        <w:jc w:val="both"/>
        <w:rPr>
          <w:rFonts w:cs="Arial"/>
        </w:rPr>
      </w:pPr>
    </w:p>
    <w:p w:rsidR="00184EE5" w:rsidRPr="00993152" w:rsidRDefault="00184EE5" w:rsidP="00184EE5">
      <w:pPr>
        <w:autoSpaceDE w:val="0"/>
        <w:autoSpaceDN w:val="0"/>
        <w:adjustRightInd w:val="0"/>
        <w:rPr>
          <w:rFonts w:cs="Arial"/>
        </w:rPr>
      </w:pPr>
      <w:r w:rsidRPr="00993152">
        <w:rPr>
          <w:rFonts w:cs="Arial"/>
        </w:rPr>
        <w:t xml:space="preserve">Eine </w:t>
      </w:r>
      <w:r w:rsidRPr="00993152">
        <w:rPr>
          <w:rFonts w:cs="Arial"/>
          <w:u w:val="single"/>
        </w:rPr>
        <w:t>Kaution</w:t>
      </w:r>
      <w:r w:rsidRPr="00993152">
        <w:rPr>
          <w:rFonts w:cs="Arial"/>
        </w:rPr>
        <w:t xml:space="preserve"> für Mietwägen bzw. die Übernahme von </w:t>
      </w:r>
      <w:r w:rsidRPr="00993152">
        <w:rPr>
          <w:rFonts w:cs="Arial"/>
          <w:u w:val="single"/>
        </w:rPr>
        <w:t>Selbstbehalte</w:t>
      </w:r>
      <w:r w:rsidRPr="00993152">
        <w:rPr>
          <w:rFonts w:cs="Arial"/>
        </w:rPr>
        <w:t xml:space="preserve"> einer Vollkaskoversicherung beim Umzug mit einem Miet-LKW ist </w:t>
      </w:r>
      <w:r w:rsidRPr="00993152">
        <w:rPr>
          <w:rFonts w:cs="Arial"/>
          <w:b/>
        </w:rPr>
        <w:t>kein</w:t>
      </w:r>
      <w:r w:rsidRPr="00993152">
        <w:rPr>
          <w:rFonts w:cs="Arial"/>
        </w:rPr>
        <w:t xml:space="preserve"> Teil der vom Jobcenter zu übernehmenden Umzugskosten.</w:t>
      </w:r>
    </w:p>
    <w:p w:rsidR="00184EE5" w:rsidRPr="00993152" w:rsidRDefault="00184EE5" w:rsidP="00184EE5">
      <w:pPr>
        <w:autoSpaceDE w:val="0"/>
        <w:autoSpaceDN w:val="0"/>
        <w:adjustRightInd w:val="0"/>
        <w:rPr>
          <w:rFonts w:cs="Arial"/>
        </w:rPr>
      </w:pPr>
    </w:p>
    <w:p w:rsidR="00184EE5" w:rsidRPr="00993152" w:rsidRDefault="00184EE5" w:rsidP="007647E9">
      <w:pPr>
        <w:autoSpaceDE w:val="0"/>
        <w:autoSpaceDN w:val="0"/>
        <w:adjustRightInd w:val="0"/>
        <w:jc w:val="both"/>
        <w:rPr>
          <w:rFonts w:cs="Arial"/>
        </w:rPr>
      </w:pPr>
      <w:r w:rsidRPr="00993152">
        <w:rPr>
          <w:rFonts w:cs="Arial"/>
        </w:rPr>
        <w:t>Bei selbst durchgeführten Umzügen gehören nur die Kosten, die unmittelbar mit der Anmietung eines Kfz anfallen (Mietkosten inklusiver der Versicherungskosten) zu den Umzugskosten.</w:t>
      </w:r>
    </w:p>
    <w:p w:rsidR="00184EE5" w:rsidRPr="00993152" w:rsidRDefault="00184EE5" w:rsidP="007647E9">
      <w:pPr>
        <w:autoSpaceDE w:val="0"/>
        <w:autoSpaceDN w:val="0"/>
        <w:adjustRightInd w:val="0"/>
        <w:jc w:val="both"/>
        <w:rPr>
          <w:rFonts w:cs="Arial"/>
        </w:rPr>
      </w:pPr>
    </w:p>
    <w:p w:rsidR="00184EE5" w:rsidRPr="00993152" w:rsidRDefault="00184EE5" w:rsidP="007647E9">
      <w:pPr>
        <w:autoSpaceDE w:val="0"/>
        <w:autoSpaceDN w:val="0"/>
        <w:adjustRightInd w:val="0"/>
        <w:jc w:val="both"/>
        <w:rPr>
          <w:rFonts w:cs="Arial"/>
        </w:rPr>
      </w:pPr>
      <w:r w:rsidRPr="00993152">
        <w:rPr>
          <w:rFonts w:cs="Arial"/>
        </w:rPr>
        <w:t>Das kann im Hinblick auf die Angemessenheit bzw. beim Vergleich von Anbietern auch bedeuten, dass ein höheres Angebot incl. Vollkaskoversicherung bewilligt wird, da bei Schäden den Leistungsberechtigten keine Kosten entstehen.</w:t>
      </w:r>
    </w:p>
    <w:p w:rsidR="00184EE5" w:rsidRPr="00993152" w:rsidRDefault="00184EE5" w:rsidP="007647E9">
      <w:pPr>
        <w:autoSpaceDE w:val="0"/>
        <w:autoSpaceDN w:val="0"/>
        <w:adjustRightInd w:val="0"/>
        <w:jc w:val="both"/>
        <w:rPr>
          <w:rFonts w:cs="Arial"/>
        </w:rPr>
      </w:pPr>
    </w:p>
    <w:p w:rsidR="00184EE5" w:rsidRDefault="00184EE5" w:rsidP="007647E9">
      <w:pPr>
        <w:autoSpaceDE w:val="0"/>
        <w:autoSpaceDN w:val="0"/>
        <w:adjustRightInd w:val="0"/>
        <w:jc w:val="both"/>
        <w:rPr>
          <w:rFonts w:cs="Arial"/>
        </w:rPr>
      </w:pPr>
      <w:r w:rsidRPr="00993152">
        <w:rPr>
          <w:rFonts w:cs="Arial"/>
        </w:rPr>
        <w:t>Bei Abwicklung der Umzugskosten immer darauf achten, dass das Jobcenter gegenüber dem Autovermieter nicht als Vertragspartner auftritt (wegen evtl. Folgekosten wie Schäden bei Unfällen usw.).</w:t>
      </w:r>
    </w:p>
    <w:p w:rsidR="003E315D" w:rsidRDefault="003E315D" w:rsidP="007647E9">
      <w:pPr>
        <w:autoSpaceDE w:val="0"/>
        <w:autoSpaceDN w:val="0"/>
        <w:adjustRightInd w:val="0"/>
        <w:jc w:val="both"/>
        <w:rPr>
          <w:rFonts w:cs="Arial"/>
        </w:rPr>
      </w:pPr>
    </w:p>
    <w:p w:rsidR="003E315D" w:rsidRDefault="003E315D" w:rsidP="007647E9">
      <w:pPr>
        <w:autoSpaceDE w:val="0"/>
        <w:autoSpaceDN w:val="0"/>
        <w:adjustRightInd w:val="0"/>
        <w:jc w:val="both"/>
        <w:rPr>
          <w:rFonts w:cs="Arial"/>
        </w:rPr>
      </w:pPr>
    </w:p>
    <w:p w:rsidR="003E315D" w:rsidRDefault="003E315D" w:rsidP="007647E9">
      <w:pPr>
        <w:autoSpaceDE w:val="0"/>
        <w:autoSpaceDN w:val="0"/>
        <w:adjustRightInd w:val="0"/>
        <w:jc w:val="both"/>
        <w:rPr>
          <w:rFonts w:cs="Arial"/>
        </w:rPr>
      </w:pPr>
    </w:p>
    <w:p w:rsidR="003E315D" w:rsidRPr="00993152" w:rsidRDefault="003E315D" w:rsidP="007647E9">
      <w:pPr>
        <w:autoSpaceDE w:val="0"/>
        <w:autoSpaceDN w:val="0"/>
        <w:adjustRightInd w:val="0"/>
        <w:jc w:val="both"/>
        <w:rPr>
          <w:rFonts w:cs="Arial"/>
        </w:rPr>
      </w:pPr>
    </w:p>
    <w:p w:rsidR="00184EE5" w:rsidRPr="00993152" w:rsidRDefault="00184EE5" w:rsidP="007647E9">
      <w:pPr>
        <w:autoSpaceDE w:val="0"/>
        <w:autoSpaceDN w:val="0"/>
        <w:adjustRightInd w:val="0"/>
        <w:jc w:val="both"/>
        <w:rPr>
          <w:rFonts w:cs="Arial"/>
        </w:rPr>
      </w:pPr>
      <w:r w:rsidRPr="00993152">
        <w:rPr>
          <w:rFonts w:cs="Arial"/>
        </w:rPr>
        <w:lastRenderedPageBreak/>
        <w:t>Die Rechnung sollte daher von der Firma an den Leistungsberechtigten erfolgen (die Überweisung erfolgt dann von uns), bzw. ein von uns bewilligtes Angebot kann auch vorab an den Leistungsberechtigten ausgezahlt werden.</w:t>
      </w:r>
    </w:p>
    <w:p w:rsidR="00184EE5" w:rsidRPr="00993152" w:rsidRDefault="00184EE5" w:rsidP="007647E9">
      <w:pPr>
        <w:autoSpaceDE w:val="0"/>
        <w:autoSpaceDN w:val="0"/>
        <w:adjustRightInd w:val="0"/>
        <w:jc w:val="both"/>
        <w:rPr>
          <w:rFonts w:cs="Arial"/>
        </w:rPr>
      </w:pPr>
    </w:p>
    <w:p w:rsidR="00184EE5" w:rsidRPr="00993152" w:rsidRDefault="00184EE5" w:rsidP="007647E9">
      <w:pPr>
        <w:autoSpaceDE w:val="0"/>
        <w:autoSpaceDN w:val="0"/>
        <w:adjustRightInd w:val="0"/>
        <w:jc w:val="both"/>
        <w:rPr>
          <w:rFonts w:cs="Arial"/>
        </w:rPr>
      </w:pPr>
      <w:r w:rsidRPr="00993152">
        <w:rPr>
          <w:rFonts w:cs="Arial"/>
        </w:rPr>
        <w:t>Ein Schadensersatzanspruch des Autovermieters gegen den Leistungsberechtigten gehört nicht zu den Umzugskosten die vom Jobcenter zu tragen sind (BSG, 06.10.2011 – B 14 AS 152/10).</w:t>
      </w:r>
    </w:p>
    <w:p w:rsidR="006F60D9" w:rsidRPr="00993152" w:rsidRDefault="006F60D9" w:rsidP="00722B92">
      <w:pPr>
        <w:jc w:val="both"/>
        <w:rPr>
          <w:rFonts w:cs="Arial"/>
        </w:rPr>
      </w:pPr>
    </w:p>
    <w:p w:rsidR="00106249" w:rsidRPr="008270B6" w:rsidRDefault="00CF2DD4" w:rsidP="003F22C2">
      <w:pPr>
        <w:pStyle w:val="berschrift2"/>
        <w:numPr>
          <w:ilvl w:val="0"/>
          <w:numId w:val="0"/>
        </w:numPr>
        <w:ind w:left="142"/>
        <w:rPr>
          <w:color w:val="00B050"/>
          <w:sz w:val="24"/>
          <w:szCs w:val="24"/>
        </w:rPr>
      </w:pPr>
      <w:r w:rsidRPr="008270B6">
        <w:rPr>
          <w:color w:val="00B050"/>
          <w:sz w:val="24"/>
          <w:szCs w:val="24"/>
        </w:rPr>
        <w:t>6</w:t>
      </w:r>
      <w:r w:rsidR="00106249" w:rsidRPr="008270B6">
        <w:rPr>
          <w:color w:val="00B050"/>
          <w:sz w:val="24"/>
          <w:szCs w:val="24"/>
        </w:rPr>
        <w:t xml:space="preserve">.3 </w:t>
      </w:r>
      <w:r w:rsidR="00FC4B5D" w:rsidRPr="008270B6">
        <w:rPr>
          <w:color w:val="00B050"/>
          <w:sz w:val="24"/>
          <w:szCs w:val="24"/>
        </w:rPr>
        <w:t>Zuständigkeiten</w:t>
      </w:r>
    </w:p>
    <w:p w:rsidR="00106249" w:rsidRPr="00993152" w:rsidRDefault="00106249" w:rsidP="00722B92">
      <w:pPr>
        <w:jc w:val="both"/>
        <w:rPr>
          <w:rFonts w:cs="Arial"/>
        </w:rPr>
      </w:pPr>
    </w:p>
    <w:p w:rsidR="00073A36" w:rsidRPr="00993152" w:rsidRDefault="004C5A75" w:rsidP="00722B92">
      <w:pPr>
        <w:jc w:val="both"/>
        <w:rPr>
          <w:rFonts w:cs="Arial"/>
          <w:b/>
        </w:rPr>
      </w:pPr>
      <w:r w:rsidRPr="00993152">
        <w:rPr>
          <w:rFonts w:cs="Arial"/>
        </w:rPr>
        <w:t xml:space="preserve">Für die Zusicherung (und Übernahme) der </w:t>
      </w:r>
      <w:r w:rsidRPr="00993152">
        <w:rPr>
          <w:rFonts w:cs="Arial"/>
          <w:b/>
        </w:rPr>
        <w:t>Umzugskosten</w:t>
      </w:r>
      <w:r w:rsidRPr="00993152">
        <w:rPr>
          <w:rFonts w:cs="Arial"/>
        </w:rPr>
        <w:t xml:space="preserve"> ist das Jobcenter Passau Land  bei </w:t>
      </w:r>
      <w:r w:rsidRPr="00993152">
        <w:rPr>
          <w:rFonts w:cs="Arial"/>
          <w:b/>
        </w:rPr>
        <w:t>Wegzug</w:t>
      </w:r>
      <w:r w:rsidRPr="00993152">
        <w:rPr>
          <w:rFonts w:cs="Arial"/>
        </w:rPr>
        <w:t xml:space="preserve"> aus dem  und Umzug innerhalb des Landkreises Passau zuständig</w:t>
      </w:r>
      <w:r w:rsidRPr="00993152">
        <w:rPr>
          <w:rFonts w:cs="Arial"/>
          <w:b/>
        </w:rPr>
        <w:t>.</w:t>
      </w:r>
    </w:p>
    <w:p w:rsidR="004C5A75" w:rsidRPr="00993152" w:rsidRDefault="004C5A75" w:rsidP="00722B92">
      <w:pPr>
        <w:jc w:val="both"/>
        <w:rPr>
          <w:rFonts w:cs="Arial"/>
        </w:rPr>
      </w:pPr>
    </w:p>
    <w:p w:rsidR="004C5A75" w:rsidRPr="00993152" w:rsidRDefault="004C5A75" w:rsidP="00722B92">
      <w:pPr>
        <w:jc w:val="both"/>
        <w:rPr>
          <w:rFonts w:cs="Arial"/>
        </w:rPr>
      </w:pPr>
      <w:r w:rsidRPr="00993152">
        <w:rPr>
          <w:rFonts w:cs="Arial"/>
        </w:rPr>
        <w:t xml:space="preserve">Für die Zusicherung (und Übernahme) der </w:t>
      </w:r>
      <w:r w:rsidRPr="00993152">
        <w:rPr>
          <w:rFonts w:cs="Arial"/>
          <w:b/>
        </w:rPr>
        <w:t xml:space="preserve">Mietkaution </w:t>
      </w:r>
      <w:r w:rsidRPr="00993152">
        <w:rPr>
          <w:rFonts w:cs="Arial"/>
        </w:rPr>
        <w:t>ist das Jobcenter Passau Land bei</w:t>
      </w:r>
    </w:p>
    <w:p w:rsidR="004C5A75" w:rsidRDefault="004C5A75" w:rsidP="00722B92">
      <w:pPr>
        <w:jc w:val="both"/>
        <w:rPr>
          <w:rFonts w:cs="Arial"/>
        </w:rPr>
      </w:pPr>
      <w:r w:rsidRPr="00993152">
        <w:rPr>
          <w:rFonts w:cs="Arial"/>
          <w:b/>
        </w:rPr>
        <w:t xml:space="preserve">Zuzug </w:t>
      </w:r>
      <w:r w:rsidRPr="00993152">
        <w:rPr>
          <w:rFonts w:cs="Arial"/>
        </w:rPr>
        <w:t xml:space="preserve">in den  und Umzug innerhalb des Landkreises Passau zuständig. </w:t>
      </w:r>
    </w:p>
    <w:p w:rsidR="00D202DC" w:rsidRDefault="00D202DC" w:rsidP="00722B92">
      <w:pPr>
        <w:jc w:val="both"/>
        <w:rPr>
          <w:rFonts w:cs="Arial"/>
        </w:rPr>
      </w:pPr>
    </w:p>
    <w:p w:rsidR="00D202DC" w:rsidRPr="008270B6" w:rsidRDefault="008270B6" w:rsidP="00722B92">
      <w:pPr>
        <w:jc w:val="both"/>
        <w:rPr>
          <w:rFonts w:cs="Arial"/>
          <w:color w:val="00B050"/>
        </w:rPr>
      </w:pPr>
      <w:r w:rsidRPr="008270B6">
        <w:rPr>
          <w:rFonts w:cs="Arial"/>
          <w:b/>
          <w:color w:val="00B050"/>
        </w:rPr>
        <w:t>Umzüge aus dem Ausland oder ins Ausland</w:t>
      </w:r>
      <w:r w:rsidRPr="008270B6">
        <w:rPr>
          <w:rFonts w:cs="Arial"/>
          <w:color w:val="00B050"/>
        </w:rPr>
        <w:t xml:space="preserve"> fallen nicht in den Zuständigkeitsbereich eines JC, da der Anwendungsbereich des § 22 Abs. 6 SGB II auf Umzüge innerhalb des Gebietes der Bundesrepublik begrenzt ist (so auch </w:t>
      </w:r>
      <w:r w:rsidRPr="008270B6">
        <w:rPr>
          <w:color w:val="00B050"/>
        </w:rPr>
        <w:t xml:space="preserve">StMAS Bayern, Schreiben vom </w:t>
      </w:r>
      <w:r w:rsidR="0012351F">
        <w:rPr>
          <w:color w:val="00B050"/>
        </w:rPr>
        <w:t>25.07</w:t>
      </w:r>
      <w:r w:rsidRPr="008270B6">
        <w:rPr>
          <w:color w:val="00B050"/>
        </w:rPr>
        <w:t>.2016 Az: I 3/6074.04-1/314).</w:t>
      </w:r>
    </w:p>
    <w:p w:rsidR="00D202DC" w:rsidRDefault="00D202DC" w:rsidP="00722B92">
      <w:pPr>
        <w:jc w:val="both"/>
        <w:rPr>
          <w:rFonts w:cs="Arial"/>
        </w:rPr>
      </w:pPr>
    </w:p>
    <w:p w:rsidR="00D202DC" w:rsidRDefault="00D202DC" w:rsidP="00722B92">
      <w:pPr>
        <w:jc w:val="both"/>
        <w:rPr>
          <w:rFonts w:cs="Arial"/>
        </w:rPr>
      </w:pPr>
    </w:p>
    <w:p w:rsidR="00D202DC" w:rsidRPr="008270B6" w:rsidRDefault="00D202DC" w:rsidP="00722B92">
      <w:pPr>
        <w:jc w:val="both"/>
        <w:rPr>
          <w:rFonts w:cs="Arial"/>
          <w:b/>
          <w:color w:val="00B050"/>
          <w:sz w:val="24"/>
          <w:szCs w:val="24"/>
        </w:rPr>
      </w:pPr>
      <w:r w:rsidRPr="008270B6">
        <w:rPr>
          <w:rFonts w:cs="Arial"/>
          <w:b/>
          <w:sz w:val="24"/>
          <w:szCs w:val="24"/>
        </w:rPr>
        <w:t xml:space="preserve">   </w:t>
      </w:r>
      <w:r w:rsidRPr="008270B6">
        <w:rPr>
          <w:rFonts w:cs="Arial"/>
          <w:b/>
          <w:color w:val="00B050"/>
          <w:sz w:val="24"/>
          <w:szCs w:val="24"/>
        </w:rPr>
        <w:t>6.3.1 Zuständigkeit innerhalb des JC</w:t>
      </w:r>
    </w:p>
    <w:p w:rsidR="00D202DC" w:rsidRPr="00D202DC" w:rsidRDefault="00D202DC" w:rsidP="00722B92">
      <w:pPr>
        <w:jc w:val="both"/>
        <w:rPr>
          <w:rFonts w:cs="Arial"/>
          <w:color w:val="00B050"/>
        </w:rPr>
      </w:pPr>
    </w:p>
    <w:p w:rsidR="00D202DC" w:rsidRPr="00D202DC" w:rsidRDefault="00D202DC" w:rsidP="00722B92">
      <w:pPr>
        <w:jc w:val="both"/>
        <w:rPr>
          <w:rFonts w:cs="Arial"/>
          <w:color w:val="00B050"/>
        </w:rPr>
      </w:pPr>
      <w:r w:rsidRPr="00D202DC">
        <w:rPr>
          <w:rFonts w:cs="Arial"/>
          <w:color w:val="00B050"/>
        </w:rPr>
        <w:t xml:space="preserve">Ist </w:t>
      </w:r>
      <w:r w:rsidR="00152E52">
        <w:rPr>
          <w:rFonts w:cs="Arial"/>
          <w:color w:val="00B050"/>
        </w:rPr>
        <w:t xml:space="preserve">ein </w:t>
      </w:r>
      <w:r w:rsidRPr="00D202DC">
        <w:rPr>
          <w:rFonts w:cs="Arial"/>
          <w:color w:val="00B050"/>
        </w:rPr>
        <w:t>Umzug zur Aufnahme einer sozialversicherungspflichtigen Beschäftigung notwendig, ist für die Bearbeitung der Umzugskosten vorrangig der Bereich M&amp;I des JC zuständig, da diese Kosten im Rahmen des Vermittlungsbudgets nach § 16 Abs. 1 SGB II i.V.m. § 44 SGB II</w:t>
      </w:r>
      <w:r>
        <w:rPr>
          <w:rFonts w:cs="Arial"/>
          <w:color w:val="00B050"/>
        </w:rPr>
        <w:t>I</w:t>
      </w:r>
      <w:r w:rsidRPr="00D202DC">
        <w:rPr>
          <w:rFonts w:cs="Arial"/>
          <w:color w:val="00B050"/>
        </w:rPr>
        <w:t xml:space="preserve"> übernommen werden können.  Diese gesetzlichen Regelungen geht als lex specialis der Regelung des § 22 Abs. 6 SGB II vor. </w:t>
      </w:r>
    </w:p>
    <w:p w:rsidR="00D202DC" w:rsidRPr="00D202DC" w:rsidRDefault="00D202DC" w:rsidP="00722B92">
      <w:pPr>
        <w:jc w:val="both"/>
        <w:rPr>
          <w:rFonts w:cs="Arial"/>
          <w:color w:val="00B050"/>
        </w:rPr>
      </w:pPr>
    </w:p>
    <w:p w:rsidR="00D202DC" w:rsidRPr="00D202DC" w:rsidRDefault="00D202DC" w:rsidP="00722B92">
      <w:pPr>
        <w:jc w:val="both"/>
        <w:rPr>
          <w:rFonts w:cs="Arial"/>
          <w:color w:val="00B050"/>
        </w:rPr>
      </w:pPr>
      <w:r w:rsidRPr="00D202DC">
        <w:rPr>
          <w:rFonts w:cs="Arial"/>
          <w:color w:val="00B050"/>
        </w:rPr>
        <w:t>Wurden Umzugskosten vom Bereich M&amp;I übernommen, eine Mietkaution jedoch nicht, weil hierfür die Möglichkeit nach dieser Vorschrift fehlt, kann vom Leistungsbereich ein Darlehen für die Mietkaution nach § 22 Abs. 6 gewährt werden.</w:t>
      </w:r>
    </w:p>
    <w:p w:rsidR="00D202DC" w:rsidRPr="00D202DC" w:rsidRDefault="00D202DC" w:rsidP="00722B92">
      <w:pPr>
        <w:jc w:val="both"/>
        <w:rPr>
          <w:rFonts w:cs="Arial"/>
          <w:color w:val="00B050"/>
        </w:rPr>
      </w:pPr>
    </w:p>
    <w:p w:rsidR="00D202DC" w:rsidRDefault="00D202DC" w:rsidP="00D202DC">
      <w:pPr>
        <w:jc w:val="both"/>
        <w:rPr>
          <w:color w:val="00B050"/>
        </w:rPr>
      </w:pPr>
      <w:r w:rsidRPr="005619CA">
        <w:rPr>
          <w:color w:val="00B050"/>
        </w:rPr>
        <w:t xml:space="preserve">Siehe hierzu auch StMAS Bayern, Schreiben vom </w:t>
      </w:r>
      <w:r w:rsidR="0012351F">
        <w:rPr>
          <w:color w:val="00B050"/>
        </w:rPr>
        <w:t>25.07</w:t>
      </w:r>
      <w:r w:rsidRPr="005619CA">
        <w:rPr>
          <w:color w:val="00B050"/>
        </w:rPr>
        <w:t xml:space="preserve">.2016 Az: I 3/6074.04-1/314. </w:t>
      </w:r>
    </w:p>
    <w:p w:rsidR="003E315D" w:rsidRDefault="003E315D" w:rsidP="00D202DC">
      <w:pPr>
        <w:jc w:val="both"/>
        <w:rPr>
          <w:color w:val="00B050"/>
        </w:rPr>
      </w:pPr>
    </w:p>
    <w:p w:rsidR="003E315D" w:rsidRPr="005619CA" w:rsidRDefault="003E315D" w:rsidP="00D202DC">
      <w:pPr>
        <w:jc w:val="both"/>
        <w:rPr>
          <w:color w:val="00B050"/>
        </w:rPr>
      </w:pPr>
    </w:p>
    <w:p w:rsidR="00E07CA0" w:rsidRPr="00993152" w:rsidRDefault="00E07CA0" w:rsidP="00B35CEF">
      <w:pPr>
        <w:pStyle w:val="berschrift1"/>
        <w:numPr>
          <w:ilvl w:val="0"/>
          <w:numId w:val="0"/>
        </w:numPr>
        <w:rPr>
          <w:sz w:val="24"/>
          <w:szCs w:val="24"/>
        </w:rPr>
      </w:pPr>
      <w:r w:rsidRPr="00993152">
        <w:rPr>
          <w:sz w:val="24"/>
          <w:szCs w:val="24"/>
        </w:rPr>
        <w:t>7. Direktzahlung an Vermieter und andere Berechtigte (§ 22 Abs. 7 SGB II)</w:t>
      </w:r>
    </w:p>
    <w:p w:rsidR="00E07CA0" w:rsidRPr="00993152" w:rsidRDefault="00E07CA0" w:rsidP="00722B92">
      <w:pPr>
        <w:jc w:val="both"/>
        <w:rPr>
          <w:rFonts w:cs="Arial"/>
          <w:sz w:val="24"/>
          <w:szCs w:val="24"/>
        </w:rPr>
      </w:pPr>
    </w:p>
    <w:p w:rsidR="008870DA" w:rsidRPr="00993152" w:rsidRDefault="00E07CA0" w:rsidP="00722B92">
      <w:pPr>
        <w:jc w:val="both"/>
        <w:rPr>
          <w:rFonts w:cs="Arial"/>
        </w:rPr>
      </w:pPr>
      <w:r w:rsidRPr="00993152">
        <w:rPr>
          <w:rFonts w:cs="Arial"/>
        </w:rPr>
        <w:t xml:space="preserve">Der LB kann die Auszahlung der Miete direkt an den Vermieter beantragen. Soweit dies möglich ist wird dem </w:t>
      </w:r>
      <w:r w:rsidRPr="00993152">
        <w:rPr>
          <w:rFonts w:cs="Arial"/>
          <w:b/>
        </w:rPr>
        <w:t>Antrag</w:t>
      </w:r>
      <w:r w:rsidRPr="00993152">
        <w:rPr>
          <w:rFonts w:cs="Arial"/>
        </w:rPr>
        <w:t xml:space="preserve"> entsprochen und ein entsprechender Vermerk in der Akte  erstellt. </w:t>
      </w:r>
      <w:r w:rsidR="00142AE9" w:rsidRPr="00993152">
        <w:rPr>
          <w:rFonts w:cs="Arial"/>
        </w:rPr>
        <w:t xml:space="preserve">Zusätzlich unterrichten wir den LB </w:t>
      </w:r>
      <w:r w:rsidR="009C3DF7" w:rsidRPr="00993152">
        <w:rPr>
          <w:rFonts w:cs="Arial"/>
        </w:rPr>
        <w:t>(</w:t>
      </w:r>
      <w:r w:rsidR="00142AE9" w:rsidRPr="00993152">
        <w:rPr>
          <w:rFonts w:cs="Arial"/>
          <w:i/>
          <w:sz w:val="20"/>
          <w:szCs w:val="20"/>
        </w:rPr>
        <w:t>TB § 22 SGB II -20</w:t>
      </w:r>
      <w:r w:rsidR="009C3DF7" w:rsidRPr="00993152">
        <w:rPr>
          <w:rFonts w:cs="Arial"/>
          <w:i/>
          <w:sz w:val="20"/>
          <w:szCs w:val="20"/>
        </w:rPr>
        <w:t>)</w:t>
      </w:r>
      <w:r w:rsidR="00142AE9" w:rsidRPr="00993152">
        <w:rPr>
          <w:rFonts w:cs="Arial"/>
        </w:rPr>
        <w:t xml:space="preserve"> </w:t>
      </w:r>
      <w:r w:rsidR="009C3DF7" w:rsidRPr="00993152">
        <w:rPr>
          <w:rFonts w:cs="Arial"/>
        </w:rPr>
        <w:t xml:space="preserve">sowie den Vermieter </w:t>
      </w:r>
      <w:r w:rsidR="009C3DF7" w:rsidRPr="00993152">
        <w:rPr>
          <w:rFonts w:cs="Arial"/>
          <w:i/>
          <w:sz w:val="20"/>
          <w:szCs w:val="20"/>
        </w:rPr>
        <w:t>(TB § 22 SGB II -22)</w:t>
      </w:r>
      <w:r w:rsidR="009C3DF7" w:rsidRPr="00993152">
        <w:rPr>
          <w:rFonts w:cs="Arial"/>
        </w:rPr>
        <w:t xml:space="preserve"> </w:t>
      </w:r>
      <w:r w:rsidR="00142AE9" w:rsidRPr="00993152">
        <w:rPr>
          <w:rFonts w:cs="Arial"/>
        </w:rPr>
        <w:t>über die Direktzahlung.</w:t>
      </w:r>
    </w:p>
    <w:p w:rsidR="00E07CA0" w:rsidRPr="00993152" w:rsidRDefault="00E07CA0" w:rsidP="00722B92">
      <w:pPr>
        <w:jc w:val="both"/>
        <w:rPr>
          <w:rFonts w:cs="Arial"/>
        </w:rPr>
      </w:pPr>
      <w:r w:rsidRPr="00993152">
        <w:rPr>
          <w:rFonts w:cs="Arial"/>
        </w:rPr>
        <w:t>Der Antrag kann vom LB jederzeit mit Wirkung für die Zukunft zurückgenommen werden.</w:t>
      </w:r>
    </w:p>
    <w:p w:rsidR="00E07CA0" w:rsidRPr="00993152" w:rsidRDefault="00E07CA0" w:rsidP="00722B92">
      <w:pPr>
        <w:jc w:val="both"/>
        <w:rPr>
          <w:rFonts w:cs="Arial"/>
        </w:rPr>
      </w:pPr>
      <w:r w:rsidRPr="00993152">
        <w:rPr>
          <w:rFonts w:cs="Arial"/>
        </w:rPr>
        <w:t xml:space="preserve">Das Mietverhältnis besteht weiterhin allein zwischen den LB und den Vermieter und begründet keine Pflichten des Jobcenters gegenüber </w:t>
      </w:r>
      <w:r w:rsidR="00142AE9" w:rsidRPr="00993152">
        <w:rPr>
          <w:rFonts w:cs="Arial"/>
        </w:rPr>
        <w:t>dem</w:t>
      </w:r>
      <w:r w:rsidRPr="00993152">
        <w:rPr>
          <w:rFonts w:cs="Arial"/>
        </w:rPr>
        <w:t xml:space="preserve"> Vermieter.</w:t>
      </w:r>
    </w:p>
    <w:p w:rsidR="00E07CA0" w:rsidRPr="00993152" w:rsidRDefault="00E07CA0" w:rsidP="00722B92">
      <w:pPr>
        <w:jc w:val="both"/>
        <w:rPr>
          <w:rFonts w:cs="Arial"/>
        </w:rPr>
      </w:pPr>
    </w:p>
    <w:p w:rsidR="00E07CA0" w:rsidRPr="00993152" w:rsidRDefault="00E07CA0" w:rsidP="00722B92">
      <w:pPr>
        <w:jc w:val="both"/>
        <w:rPr>
          <w:rFonts w:cs="Arial"/>
        </w:rPr>
      </w:pPr>
      <w:r w:rsidRPr="00993152">
        <w:rPr>
          <w:rFonts w:cs="Arial"/>
        </w:rPr>
        <w:t xml:space="preserve">Bei konkretem </w:t>
      </w:r>
      <w:r w:rsidRPr="00993152">
        <w:rPr>
          <w:rFonts w:cs="Arial"/>
          <w:b/>
        </w:rPr>
        <w:t>Zweifel an der Verwendung</w:t>
      </w:r>
      <w:r w:rsidRPr="00993152">
        <w:rPr>
          <w:rFonts w:cs="Arial"/>
        </w:rPr>
        <w:t xml:space="preserve"> der gewährten KdU (z.B. Nachweise des Vermieters, dass Miete tatsächlich nicht gezahlt wird), soll das Jobcenter die Miete auch </w:t>
      </w:r>
      <w:r w:rsidRPr="00993152">
        <w:rPr>
          <w:rFonts w:cs="Arial"/>
          <w:b/>
        </w:rPr>
        <w:t>gegen den Willen des LB</w:t>
      </w:r>
      <w:r w:rsidRPr="00993152">
        <w:rPr>
          <w:rFonts w:cs="Arial"/>
        </w:rPr>
        <w:t xml:space="preserve"> an den Vermieter überweisen. </w:t>
      </w:r>
    </w:p>
    <w:p w:rsidR="00E07CA0" w:rsidRPr="00993152" w:rsidRDefault="00E07CA0" w:rsidP="00722B92">
      <w:pPr>
        <w:jc w:val="both"/>
        <w:rPr>
          <w:rFonts w:cs="Arial"/>
        </w:rPr>
      </w:pPr>
      <w:r w:rsidRPr="00993152">
        <w:rPr>
          <w:rFonts w:cs="Arial"/>
        </w:rPr>
        <w:lastRenderedPageBreak/>
        <w:t xml:space="preserve">Dies kann allerdings </w:t>
      </w:r>
      <w:r w:rsidRPr="00993152">
        <w:rPr>
          <w:rFonts w:cs="Arial"/>
          <w:b/>
        </w:rPr>
        <w:t>nur bis zur Höhe</w:t>
      </w:r>
      <w:r w:rsidRPr="00993152">
        <w:rPr>
          <w:rFonts w:cs="Arial"/>
        </w:rPr>
        <w:t xml:space="preserve"> </w:t>
      </w:r>
      <w:r w:rsidRPr="00993152">
        <w:rPr>
          <w:rFonts w:cs="Arial"/>
          <w:b/>
        </w:rPr>
        <w:t>der berücksichtigten KdU</w:t>
      </w:r>
      <w:r w:rsidRPr="00993152">
        <w:rPr>
          <w:rFonts w:cs="Arial"/>
        </w:rPr>
        <w:t xml:space="preserve"> erfolgen.</w:t>
      </w:r>
    </w:p>
    <w:p w:rsidR="00E07CA0" w:rsidRDefault="00E07CA0" w:rsidP="00722B92">
      <w:pPr>
        <w:jc w:val="both"/>
        <w:rPr>
          <w:rFonts w:cs="Arial"/>
        </w:rPr>
      </w:pPr>
      <w:r w:rsidRPr="00993152">
        <w:rPr>
          <w:rFonts w:cs="Arial"/>
        </w:rPr>
        <w:t xml:space="preserve">Auch hier </w:t>
      </w:r>
      <w:r w:rsidR="00142AE9" w:rsidRPr="00993152">
        <w:rPr>
          <w:rFonts w:cs="Arial"/>
        </w:rPr>
        <w:t>ist ein entsprechender Vermerk, der den konkreten Grund beinhaltet zu erstellen</w:t>
      </w:r>
      <w:r w:rsidR="009C3DF7" w:rsidRPr="00993152">
        <w:rPr>
          <w:rFonts w:cs="Arial"/>
        </w:rPr>
        <w:t>.</w:t>
      </w:r>
      <w:r w:rsidR="00142AE9" w:rsidRPr="00993152">
        <w:rPr>
          <w:rFonts w:cs="Arial"/>
        </w:rPr>
        <w:t xml:space="preserve"> </w:t>
      </w:r>
      <w:r w:rsidR="009C3DF7" w:rsidRPr="00993152">
        <w:rPr>
          <w:rFonts w:cs="Arial"/>
        </w:rPr>
        <w:t>Z</w:t>
      </w:r>
      <w:r w:rsidR="00142AE9" w:rsidRPr="00993152">
        <w:rPr>
          <w:rFonts w:cs="Arial"/>
        </w:rPr>
        <w:t xml:space="preserve">usätzlich </w:t>
      </w:r>
      <w:r w:rsidR="009C3DF7" w:rsidRPr="00993152">
        <w:rPr>
          <w:rFonts w:cs="Arial"/>
        </w:rPr>
        <w:t xml:space="preserve">unterrichten wir </w:t>
      </w:r>
      <w:r w:rsidR="00142AE9" w:rsidRPr="00993152">
        <w:rPr>
          <w:rFonts w:cs="Arial"/>
        </w:rPr>
        <w:t>de</w:t>
      </w:r>
      <w:r w:rsidR="009C3DF7" w:rsidRPr="00993152">
        <w:rPr>
          <w:rFonts w:cs="Arial"/>
        </w:rPr>
        <w:t>n</w:t>
      </w:r>
      <w:r w:rsidR="00142AE9" w:rsidRPr="00993152">
        <w:rPr>
          <w:rFonts w:cs="Arial"/>
        </w:rPr>
        <w:t xml:space="preserve"> LB  </w:t>
      </w:r>
      <w:r w:rsidR="00142AE9" w:rsidRPr="00993152">
        <w:rPr>
          <w:rFonts w:cs="Arial"/>
          <w:i/>
          <w:sz w:val="20"/>
          <w:szCs w:val="20"/>
        </w:rPr>
        <w:t>(TB § 22 SGB II -21)</w:t>
      </w:r>
      <w:r w:rsidR="00142AE9" w:rsidRPr="00993152">
        <w:rPr>
          <w:rFonts w:cs="Arial"/>
        </w:rPr>
        <w:t xml:space="preserve"> </w:t>
      </w:r>
      <w:r w:rsidR="009C3DF7" w:rsidRPr="00993152">
        <w:rPr>
          <w:rFonts w:cs="Arial"/>
        </w:rPr>
        <w:t xml:space="preserve">und den Vermieter </w:t>
      </w:r>
      <w:r w:rsidR="009C3DF7" w:rsidRPr="00993152">
        <w:rPr>
          <w:rFonts w:cs="Arial"/>
          <w:i/>
          <w:sz w:val="20"/>
          <w:szCs w:val="20"/>
        </w:rPr>
        <w:t>(TB § 22 SGB II -22)</w:t>
      </w:r>
      <w:r w:rsidR="009C3DF7" w:rsidRPr="00993152">
        <w:rPr>
          <w:rFonts w:cs="Arial"/>
        </w:rPr>
        <w:t xml:space="preserve"> über die Direktzahlung</w:t>
      </w:r>
      <w:r w:rsidR="00142AE9" w:rsidRPr="00993152">
        <w:rPr>
          <w:rFonts w:cs="Arial"/>
        </w:rPr>
        <w:t>.</w:t>
      </w:r>
    </w:p>
    <w:p w:rsidR="006A4C7B" w:rsidRDefault="006A4C7B" w:rsidP="00722B92">
      <w:pPr>
        <w:jc w:val="both"/>
        <w:rPr>
          <w:rFonts w:cs="Arial"/>
        </w:rPr>
      </w:pPr>
    </w:p>
    <w:p w:rsidR="006A4C7B" w:rsidRPr="007A6096" w:rsidRDefault="006A4C7B" w:rsidP="006A4C7B">
      <w:pPr>
        <w:jc w:val="both"/>
        <w:rPr>
          <w:rFonts w:cs="Arial"/>
        </w:rPr>
      </w:pPr>
      <w:r w:rsidRPr="00F23F1A">
        <w:rPr>
          <w:rFonts w:cs="Arial"/>
        </w:rPr>
        <w:t>§ 22 Abs. 7 SGB II begründet jedoch keinen eigenen Anspruch von Vermietern gegenüber dem Jobcenter auf Zahlung der Miete, einschließlich etwaiger Nebenkostennachforderungen, sondern nur eine Empfangsberechtigung des Vermieters, falls das Jobcenter die Direktzahlung der Kosten für Unterkunft und Heizung an ihn verfügt (vgl. hierzu BSG 23.05.2013 - B 4 AS 67/12 R- und BSG 28.03.2013 - B 4 AS 12/12 R-, sowie</w:t>
      </w:r>
      <w:r w:rsidRPr="00F23F1A">
        <w:t xml:space="preserve"> </w:t>
      </w:r>
      <w:r w:rsidRPr="00F23F1A">
        <w:rPr>
          <w:rFonts w:cs="Arial"/>
        </w:rPr>
        <w:t xml:space="preserve">LSG Nordrhein-Westfalen 24.03.2014 - L 19 AS 2329/13 </w:t>
      </w:r>
      <w:r w:rsidR="00020FB7">
        <w:rPr>
          <w:rFonts w:cs="Arial"/>
        </w:rPr>
        <w:t xml:space="preserve">– und </w:t>
      </w:r>
      <w:r w:rsidR="00020FB7" w:rsidRPr="007A6096">
        <w:rPr>
          <w:bCs/>
        </w:rPr>
        <w:t>Bayerisches LSG  05.08.2015 - L 7 AS 263/15 -</w:t>
      </w:r>
      <w:r w:rsidR="00020FB7" w:rsidRPr="007A6096">
        <w:rPr>
          <w:rFonts w:cs="Arial"/>
        </w:rPr>
        <w:t xml:space="preserve"> </w:t>
      </w:r>
      <w:r w:rsidRPr="007A6096">
        <w:rPr>
          <w:rFonts w:cs="Arial"/>
        </w:rPr>
        <w:t>).</w:t>
      </w:r>
    </w:p>
    <w:p w:rsidR="006A4C7B" w:rsidRPr="00F23F1A" w:rsidRDefault="006A4C7B" w:rsidP="006A4C7B">
      <w:pPr>
        <w:jc w:val="both"/>
        <w:rPr>
          <w:rFonts w:cs="Arial"/>
        </w:rPr>
      </w:pPr>
    </w:p>
    <w:p w:rsidR="00E07CA0" w:rsidRDefault="00E07CA0" w:rsidP="00722B92">
      <w:pPr>
        <w:jc w:val="both"/>
        <w:rPr>
          <w:rFonts w:cs="Arial"/>
        </w:rPr>
      </w:pPr>
    </w:p>
    <w:p w:rsidR="001E5E3E" w:rsidRPr="00993152" w:rsidRDefault="001E5E3E" w:rsidP="0010355B">
      <w:pPr>
        <w:pStyle w:val="berschrift1"/>
        <w:numPr>
          <w:ilvl w:val="0"/>
          <w:numId w:val="0"/>
        </w:numPr>
        <w:rPr>
          <w:sz w:val="24"/>
          <w:szCs w:val="24"/>
        </w:rPr>
      </w:pPr>
      <w:r w:rsidRPr="00993152">
        <w:rPr>
          <w:sz w:val="24"/>
          <w:szCs w:val="24"/>
        </w:rPr>
        <w:t>8. Übernahme von Schulden (§ 22 Abs. 8 SGB II)</w:t>
      </w:r>
    </w:p>
    <w:p w:rsidR="001E5E3E" w:rsidRPr="00993152" w:rsidRDefault="001E5E3E" w:rsidP="00722B92">
      <w:pPr>
        <w:jc w:val="both"/>
        <w:rPr>
          <w:rFonts w:cs="Arial"/>
          <w:b/>
          <w:sz w:val="24"/>
          <w:szCs w:val="24"/>
        </w:rPr>
      </w:pPr>
    </w:p>
    <w:p w:rsidR="001E5E3E" w:rsidRPr="00993152" w:rsidRDefault="001E5E3E" w:rsidP="00722B92">
      <w:pPr>
        <w:jc w:val="both"/>
        <w:rPr>
          <w:rFonts w:cs="Arial"/>
        </w:rPr>
      </w:pPr>
      <w:r w:rsidRPr="00993152">
        <w:rPr>
          <w:rFonts w:cs="Arial"/>
        </w:rPr>
        <w:t xml:space="preserve">Eine Schuldenübernahme nach Abs. 8 ist nur möglich, wenn bereits KDU erbracht werden, also ein  </w:t>
      </w:r>
      <w:r w:rsidRPr="00993152">
        <w:rPr>
          <w:rFonts w:cs="Arial"/>
          <w:b/>
        </w:rPr>
        <w:t>laufender Leistungsbezug</w:t>
      </w:r>
      <w:r w:rsidRPr="00993152">
        <w:rPr>
          <w:rFonts w:cs="Arial"/>
        </w:rPr>
        <w:t xml:space="preserve"> gegeben ist</w:t>
      </w:r>
      <w:r w:rsidR="003256D4" w:rsidRPr="00993152">
        <w:rPr>
          <w:rFonts w:cs="Arial"/>
        </w:rPr>
        <w:t xml:space="preserve"> (so auch Berlit in LPK-SGB II, 5. Auflage 2013, § 22 Rn. 190).</w:t>
      </w:r>
    </w:p>
    <w:p w:rsidR="00516DE6" w:rsidRPr="00993152" w:rsidRDefault="00516DE6" w:rsidP="00722B92">
      <w:pPr>
        <w:jc w:val="both"/>
        <w:rPr>
          <w:rFonts w:cs="Arial"/>
        </w:rPr>
      </w:pPr>
    </w:p>
    <w:p w:rsidR="00516DE6" w:rsidRPr="00993152" w:rsidRDefault="00516DE6" w:rsidP="00722B92">
      <w:pPr>
        <w:jc w:val="both"/>
        <w:rPr>
          <w:rFonts w:cs="Arial"/>
        </w:rPr>
      </w:pPr>
      <w:r w:rsidRPr="00993152">
        <w:rPr>
          <w:rFonts w:cs="Arial"/>
        </w:rPr>
        <w:t>Ein Antrag auf Übernahme von Schulden nach § 22 Abs. 8 SGB II ist gesondert zu stellen (vgl. Link in Eicher SGB II, 3. Auflage 2013, §37 Rn. 36).</w:t>
      </w:r>
    </w:p>
    <w:p w:rsidR="001E5E3E" w:rsidRPr="00993152" w:rsidRDefault="001E5E3E" w:rsidP="00722B92">
      <w:pPr>
        <w:jc w:val="both"/>
        <w:rPr>
          <w:rFonts w:cs="Arial"/>
        </w:rPr>
      </w:pPr>
    </w:p>
    <w:p w:rsidR="001E5E3E" w:rsidRPr="00993152" w:rsidRDefault="001E5E3E" w:rsidP="00722B92">
      <w:pPr>
        <w:jc w:val="both"/>
        <w:rPr>
          <w:rFonts w:cs="Arial"/>
        </w:rPr>
      </w:pPr>
      <w:r w:rsidRPr="00993152">
        <w:rPr>
          <w:rFonts w:cs="Arial"/>
        </w:rPr>
        <w:t>Schulden im Sinne des Abs. 8 liegen vor, wenn es sich um einen tatsächlich eingetretenen und bisher noch nicht vom Jobcenter gedeckten</w:t>
      </w:r>
      <w:r w:rsidR="00715B99" w:rsidRPr="00993152">
        <w:rPr>
          <w:rFonts w:cs="Arial"/>
        </w:rPr>
        <w:t xml:space="preserve"> </w:t>
      </w:r>
      <w:r w:rsidRPr="00993152">
        <w:rPr>
          <w:rFonts w:cs="Arial"/>
        </w:rPr>
        <w:t xml:space="preserve"> Bedarf handelt (vgl. BSG 22.03.2010 –B 4 AS 62/09 R-). </w:t>
      </w:r>
    </w:p>
    <w:p w:rsidR="00715B99" w:rsidRPr="00993152" w:rsidRDefault="00715B99" w:rsidP="00722B92">
      <w:pPr>
        <w:jc w:val="both"/>
        <w:rPr>
          <w:rFonts w:cs="Arial"/>
        </w:rPr>
      </w:pPr>
      <w:r w:rsidRPr="00993152">
        <w:rPr>
          <w:rFonts w:cs="Arial"/>
        </w:rPr>
        <w:t xml:space="preserve">Achtung: Haushaltsenergie (=Haushaltsstrom aber nicht Heizstrom) </w:t>
      </w:r>
      <w:r w:rsidR="003445B3" w:rsidRPr="00993152">
        <w:rPr>
          <w:rFonts w:cs="Arial"/>
        </w:rPr>
        <w:t>ist ein Bestandteil der Regelleistung</w:t>
      </w:r>
      <w:r w:rsidRPr="00993152">
        <w:rPr>
          <w:rFonts w:cs="Arial"/>
        </w:rPr>
        <w:t>. In Fällen von Schulden bei der Haushaltsenergie wird daher auf die Rz. 24.2 und 24.3</w:t>
      </w:r>
      <w:r w:rsidR="003929BB" w:rsidRPr="00993152">
        <w:rPr>
          <w:rFonts w:cs="Arial"/>
        </w:rPr>
        <w:t xml:space="preserve"> zu § 24</w:t>
      </w:r>
      <w:r w:rsidRPr="00993152">
        <w:rPr>
          <w:rFonts w:cs="Arial"/>
        </w:rPr>
        <w:t xml:space="preserve"> der Fachlichen Hinweise der BA verwiesen.</w:t>
      </w:r>
    </w:p>
    <w:p w:rsidR="000503B9" w:rsidRPr="00993152" w:rsidRDefault="000503B9" w:rsidP="00722B92">
      <w:pPr>
        <w:jc w:val="both"/>
        <w:rPr>
          <w:rFonts w:cs="Arial"/>
        </w:rPr>
      </w:pPr>
    </w:p>
    <w:p w:rsidR="000503B9" w:rsidRPr="00993152" w:rsidRDefault="000503B9" w:rsidP="000503B9">
      <w:pPr>
        <w:jc w:val="both"/>
        <w:rPr>
          <w:rFonts w:eastAsia="Calibri" w:cs="Arial"/>
        </w:rPr>
      </w:pPr>
      <w:r w:rsidRPr="00993152">
        <w:rPr>
          <w:rFonts w:eastAsia="Calibri" w:cs="Arial"/>
          <w:b/>
        </w:rPr>
        <w:t>Schulden gegenüber einem Dritten</w:t>
      </w:r>
      <w:r w:rsidRPr="00993152">
        <w:rPr>
          <w:rFonts w:eastAsia="Calibri" w:cs="Arial"/>
        </w:rPr>
        <w:t xml:space="preserve">, die der Hilfebedürftige eingegangen ist, um drohende Wohnungslosigkeit durch Zahlung rückständiger Miete abzuwenden, </w:t>
      </w:r>
      <w:r w:rsidR="00D2634F" w:rsidRPr="00993152">
        <w:rPr>
          <w:rFonts w:eastAsia="Calibri" w:cs="Arial"/>
        </w:rPr>
        <w:t>kann</w:t>
      </w:r>
      <w:r w:rsidRPr="00993152">
        <w:rPr>
          <w:rFonts w:eastAsia="Calibri" w:cs="Arial"/>
        </w:rPr>
        <w:t xml:space="preserve"> vom </w:t>
      </w:r>
      <w:r w:rsidRPr="00993152">
        <w:rPr>
          <w:rFonts w:cs="Arial"/>
        </w:rPr>
        <w:t>Jobcenter</w:t>
      </w:r>
      <w:r w:rsidRPr="00993152">
        <w:rPr>
          <w:rFonts w:eastAsia="Calibri" w:cs="Arial"/>
        </w:rPr>
        <w:t xml:space="preserve"> zu übernehmen sein, wenn die Übernahme der Mietschulden </w:t>
      </w:r>
      <w:r w:rsidRPr="00993152">
        <w:rPr>
          <w:rFonts w:eastAsia="Calibri" w:cs="Arial"/>
          <w:u w:val="single"/>
        </w:rPr>
        <w:t>zuvor</w:t>
      </w:r>
      <w:r w:rsidRPr="00993152">
        <w:rPr>
          <w:rFonts w:eastAsia="Calibri" w:cs="Arial"/>
        </w:rPr>
        <w:t xml:space="preserve"> beantragt worden ist.</w:t>
      </w:r>
    </w:p>
    <w:p w:rsidR="000503B9" w:rsidRPr="00993152" w:rsidRDefault="000503B9" w:rsidP="000503B9">
      <w:pPr>
        <w:jc w:val="both"/>
        <w:rPr>
          <w:rFonts w:eastAsia="Calibri" w:cs="Arial"/>
        </w:rPr>
      </w:pPr>
      <w:r w:rsidRPr="00993152">
        <w:rPr>
          <w:rFonts w:cs="Arial"/>
        </w:rPr>
        <w:t>(</w:t>
      </w:r>
      <w:r w:rsidRPr="00993152">
        <w:rPr>
          <w:rFonts w:eastAsia="Calibri" w:cs="Arial"/>
        </w:rPr>
        <w:t>BSG 17.06.2010 –B 14 AS 58/09 R</w:t>
      </w:r>
      <w:r w:rsidR="0035461B" w:rsidRPr="00993152">
        <w:rPr>
          <w:rFonts w:eastAsia="Calibri" w:cs="Arial"/>
        </w:rPr>
        <w:t>-</w:t>
      </w:r>
      <w:r w:rsidRPr="00993152">
        <w:rPr>
          <w:rFonts w:cs="Arial"/>
        </w:rPr>
        <w:t>)</w:t>
      </w:r>
      <w:r w:rsidR="0035461B" w:rsidRPr="00993152">
        <w:rPr>
          <w:rFonts w:cs="Arial"/>
        </w:rPr>
        <w:t>.</w:t>
      </w:r>
    </w:p>
    <w:p w:rsidR="00907223" w:rsidRPr="00993152" w:rsidRDefault="00907223" w:rsidP="00722B92">
      <w:pPr>
        <w:jc w:val="both"/>
        <w:rPr>
          <w:rFonts w:cs="Arial"/>
        </w:rPr>
      </w:pPr>
    </w:p>
    <w:p w:rsidR="00907223" w:rsidRPr="00993152" w:rsidRDefault="00907223" w:rsidP="00722B92">
      <w:pPr>
        <w:jc w:val="both"/>
        <w:rPr>
          <w:rFonts w:cs="Arial"/>
        </w:rPr>
      </w:pPr>
      <w:r w:rsidRPr="00993152">
        <w:rPr>
          <w:rFonts w:cs="Arial"/>
        </w:rPr>
        <w:t xml:space="preserve">Bevor eine Übernahme von Schulden durch das Jobcenter in Betracht kommt, muss der LB sein </w:t>
      </w:r>
      <w:r w:rsidRPr="00993152">
        <w:rPr>
          <w:rFonts w:cs="Arial"/>
          <w:b/>
        </w:rPr>
        <w:t>Schonvermögen</w:t>
      </w:r>
      <w:r w:rsidRPr="00993152">
        <w:rPr>
          <w:rFonts w:cs="Arial"/>
        </w:rPr>
        <w:t xml:space="preserve"> nach § 12 Abs. 2 Nr. 1 SGB II </w:t>
      </w:r>
      <w:r w:rsidRPr="00993152">
        <w:rPr>
          <w:rFonts w:cs="Arial"/>
          <w:b/>
        </w:rPr>
        <w:t>aufbrauchen</w:t>
      </w:r>
      <w:r w:rsidRPr="00993152">
        <w:rPr>
          <w:rFonts w:cs="Arial"/>
        </w:rPr>
        <w:t>.</w:t>
      </w:r>
    </w:p>
    <w:p w:rsidR="00907223" w:rsidRPr="00993152" w:rsidRDefault="00907223" w:rsidP="00722B92">
      <w:pPr>
        <w:jc w:val="both"/>
        <w:rPr>
          <w:rFonts w:cs="Arial"/>
        </w:rPr>
      </w:pPr>
    </w:p>
    <w:p w:rsidR="00907223" w:rsidRPr="00E01D59" w:rsidRDefault="00907223" w:rsidP="00722B92">
      <w:pPr>
        <w:jc w:val="both"/>
        <w:rPr>
          <w:rFonts w:cs="Arial"/>
        </w:rPr>
      </w:pPr>
      <w:r w:rsidRPr="00993152">
        <w:rPr>
          <w:rFonts w:cs="Arial"/>
        </w:rPr>
        <w:t>Ist kein greifbares Sch</w:t>
      </w:r>
      <w:r w:rsidR="00141218" w:rsidRPr="00993152">
        <w:rPr>
          <w:rFonts w:cs="Arial"/>
        </w:rPr>
        <w:t>o</w:t>
      </w:r>
      <w:r w:rsidRPr="00993152">
        <w:rPr>
          <w:rFonts w:cs="Arial"/>
        </w:rPr>
        <w:t xml:space="preserve">nvermögen mehr vorhanden kann eine Übernahme durch das Jobcenter auf </w:t>
      </w:r>
      <w:r w:rsidRPr="00993152">
        <w:rPr>
          <w:rFonts w:cs="Arial"/>
          <w:b/>
        </w:rPr>
        <w:t>Darlehensbasis</w:t>
      </w:r>
      <w:r w:rsidRPr="00993152">
        <w:rPr>
          <w:rFonts w:cs="Arial"/>
        </w:rPr>
        <w:t xml:space="preserve"> erfolgen. </w:t>
      </w:r>
      <w:r w:rsidR="006D6AC4" w:rsidRPr="00993152">
        <w:rPr>
          <w:rFonts w:cs="Arial"/>
        </w:rPr>
        <w:t>Darlehensberechtigt ist derjenige, der den zivilrechtlichen Ansprüchen ausgesetzt ist, also der Vertragspartner (so auch Luik in Eicher SGB II, 3. Auflage 2013, § 22 Rn</w:t>
      </w:r>
      <w:r w:rsidR="00D2634F" w:rsidRPr="00993152">
        <w:rPr>
          <w:rFonts w:cs="Arial"/>
        </w:rPr>
        <w:t>.</w:t>
      </w:r>
      <w:r w:rsidR="006D6AC4" w:rsidRPr="00993152">
        <w:rPr>
          <w:rFonts w:cs="Arial"/>
        </w:rPr>
        <w:t xml:space="preserve"> 253). </w:t>
      </w:r>
      <w:r w:rsidRPr="00993152">
        <w:rPr>
          <w:rFonts w:cs="Arial"/>
        </w:rPr>
        <w:t xml:space="preserve">Das Darlehen wird </w:t>
      </w:r>
      <w:r w:rsidRPr="00993152">
        <w:t>durch monatliche Aufrechnung in Höhe von 10 Prozent des maßgebenden Regelbedarfs getilgt (§ 42a Abs. 2 Satz 1 SGB II).</w:t>
      </w:r>
      <w:r w:rsidR="00EA1BA2" w:rsidRPr="00993152">
        <w:t xml:space="preserve"> Nur in atypischen Fällen kommt eine Übernahme ganz oder teilweise als Zuschuss in Betracht. </w:t>
      </w:r>
      <w:r w:rsidR="007402A5" w:rsidRPr="00E01D59">
        <w:t>Dies kann z.B. ein wesentliches mitwirkendes Fehlverhalten auf Seiten der Verwaltung sein (vgl. BSG</w:t>
      </w:r>
      <w:r w:rsidR="00657C5A" w:rsidRPr="00E01D59">
        <w:t xml:space="preserve"> 18.11.2014</w:t>
      </w:r>
      <w:r w:rsidR="007402A5" w:rsidRPr="00E01D59">
        <w:t xml:space="preserve"> –B 4 AS 3/14 R-).</w:t>
      </w:r>
    </w:p>
    <w:p w:rsidR="00C74030" w:rsidRPr="00993152" w:rsidRDefault="00C74030" w:rsidP="00722B92">
      <w:pPr>
        <w:jc w:val="both"/>
        <w:rPr>
          <w:rFonts w:cs="Arial"/>
        </w:rPr>
      </w:pPr>
    </w:p>
    <w:p w:rsidR="00C74030" w:rsidRPr="00993152" w:rsidRDefault="00C74030" w:rsidP="00722B92">
      <w:pPr>
        <w:jc w:val="both"/>
        <w:rPr>
          <w:rFonts w:cs="Arial"/>
        </w:rPr>
      </w:pPr>
      <w:r w:rsidRPr="00993152">
        <w:rPr>
          <w:rFonts w:cs="Arial"/>
        </w:rPr>
        <w:t xml:space="preserve">Die Übernahme von Schulden liegt im </w:t>
      </w:r>
      <w:r w:rsidRPr="00993152">
        <w:rPr>
          <w:rFonts w:cs="Arial"/>
          <w:b/>
        </w:rPr>
        <w:t>Ermessen</w:t>
      </w:r>
      <w:r w:rsidRPr="00993152">
        <w:rPr>
          <w:rFonts w:cs="Arial"/>
        </w:rPr>
        <w:t xml:space="preserve"> des Jobcenter.</w:t>
      </w:r>
    </w:p>
    <w:p w:rsidR="000309FD" w:rsidRPr="00993152" w:rsidRDefault="00907223" w:rsidP="000309FD">
      <w:pPr>
        <w:jc w:val="both"/>
        <w:rPr>
          <w:rFonts w:eastAsia="Calibri" w:cs="Arial"/>
        </w:rPr>
      </w:pPr>
      <w:r w:rsidRPr="00993152">
        <w:rPr>
          <w:rFonts w:cs="Arial"/>
        </w:rPr>
        <w:t>Hierbei sind insbesondere die Höhe der Rückstände, die Ursachen, die zu den Rückständen geführt haben und die Betroffenheit von Kleinkindern zu berücksichtigen und im Bescheid zu dokumentieren</w:t>
      </w:r>
      <w:r w:rsidR="000309FD" w:rsidRPr="00993152">
        <w:rPr>
          <w:rFonts w:cs="Arial"/>
        </w:rPr>
        <w:t xml:space="preserve"> (vgl. </w:t>
      </w:r>
      <w:r w:rsidR="000309FD" w:rsidRPr="00993152">
        <w:rPr>
          <w:rFonts w:eastAsia="Calibri" w:cs="Arial"/>
        </w:rPr>
        <w:t>LSG Niedersachsen-Bremen  04.09.2009 – L 13 AS 252/09 B ER</w:t>
      </w:r>
      <w:r w:rsidR="0035461B" w:rsidRPr="00993152">
        <w:rPr>
          <w:rFonts w:eastAsia="Calibri" w:cs="Arial"/>
        </w:rPr>
        <w:t>-</w:t>
      </w:r>
      <w:r w:rsidR="000309FD" w:rsidRPr="00993152">
        <w:rPr>
          <w:rFonts w:cs="Arial"/>
        </w:rPr>
        <w:t>)</w:t>
      </w:r>
      <w:r w:rsidR="00AA7D05" w:rsidRPr="00993152">
        <w:rPr>
          <w:rFonts w:cs="Arial"/>
        </w:rPr>
        <w:t>.</w:t>
      </w:r>
    </w:p>
    <w:p w:rsidR="001E5E3E" w:rsidRPr="00993152" w:rsidRDefault="001E5E3E" w:rsidP="00722B92">
      <w:pPr>
        <w:jc w:val="both"/>
        <w:rPr>
          <w:rFonts w:cs="Arial"/>
        </w:rPr>
      </w:pPr>
    </w:p>
    <w:p w:rsidR="001E5E3E" w:rsidRPr="00993152" w:rsidRDefault="001E5E3E" w:rsidP="00722B92">
      <w:pPr>
        <w:jc w:val="both"/>
        <w:rPr>
          <w:rFonts w:cs="Arial"/>
        </w:rPr>
      </w:pPr>
      <w:r w:rsidRPr="00993152">
        <w:rPr>
          <w:rFonts w:cs="Arial"/>
        </w:rPr>
        <w:lastRenderedPageBreak/>
        <w:t>Schulden können nur übernommen werden, soweit dies gerechtfertigt ist.</w:t>
      </w:r>
    </w:p>
    <w:p w:rsidR="00907223" w:rsidRPr="00993152" w:rsidRDefault="00907223" w:rsidP="00722B92">
      <w:pPr>
        <w:jc w:val="both"/>
        <w:rPr>
          <w:rFonts w:cs="Arial"/>
        </w:rPr>
      </w:pPr>
    </w:p>
    <w:p w:rsidR="00EA22D4" w:rsidRPr="007A6096" w:rsidRDefault="00EA22D4" w:rsidP="00722B92">
      <w:pPr>
        <w:jc w:val="both"/>
        <w:rPr>
          <w:rFonts w:cs="Arial"/>
        </w:rPr>
      </w:pPr>
      <w:r>
        <w:rPr>
          <w:rFonts w:cs="Arial"/>
          <w:b/>
        </w:rPr>
        <w:t>Grundsätzlich g</w:t>
      </w:r>
      <w:r w:rsidR="001E5E3E" w:rsidRPr="00993152">
        <w:rPr>
          <w:rFonts w:cs="Arial"/>
          <w:b/>
        </w:rPr>
        <w:t>erechtfertigt</w:t>
      </w:r>
      <w:r w:rsidR="001E5E3E" w:rsidRPr="00993152">
        <w:rPr>
          <w:rFonts w:cs="Arial"/>
        </w:rPr>
        <w:t xml:space="preserve"> ist eine Übernahme </w:t>
      </w:r>
      <w:r w:rsidR="004424BC" w:rsidRPr="00993152">
        <w:rPr>
          <w:rFonts w:cs="Arial"/>
        </w:rPr>
        <w:t xml:space="preserve">von </w:t>
      </w:r>
      <w:r w:rsidR="004424BC" w:rsidRPr="00993152">
        <w:rPr>
          <w:rFonts w:cs="Arial"/>
          <w:b/>
        </w:rPr>
        <w:t>Mietschulden</w:t>
      </w:r>
      <w:r w:rsidR="004424BC" w:rsidRPr="00993152">
        <w:rPr>
          <w:rFonts w:cs="Arial"/>
        </w:rPr>
        <w:t xml:space="preserve"> </w:t>
      </w:r>
      <w:r w:rsidR="001E5E3E" w:rsidRPr="00993152">
        <w:rPr>
          <w:rFonts w:cs="Arial"/>
        </w:rPr>
        <w:t xml:space="preserve">dann, wenn </w:t>
      </w:r>
      <w:r w:rsidR="004424BC" w:rsidRPr="00993152">
        <w:rPr>
          <w:rFonts w:cs="Arial"/>
        </w:rPr>
        <w:t xml:space="preserve">die </w:t>
      </w:r>
      <w:r w:rsidR="004424BC" w:rsidRPr="00993152">
        <w:rPr>
          <w:rFonts w:cs="Arial"/>
          <w:b/>
        </w:rPr>
        <w:t>Unterkunft angemessen</w:t>
      </w:r>
      <w:r w:rsidR="00E82B9B">
        <w:rPr>
          <w:rFonts w:cs="Arial"/>
          <w:b/>
        </w:rPr>
        <w:t xml:space="preserve"> ist</w:t>
      </w:r>
      <w:r>
        <w:rPr>
          <w:rFonts w:cs="Arial"/>
          <w:b/>
        </w:rPr>
        <w:t xml:space="preserve">.  </w:t>
      </w:r>
      <w:r w:rsidRPr="007A6096">
        <w:rPr>
          <w:rFonts w:cs="Arial"/>
          <w:b/>
        </w:rPr>
        <w:t xml:space="preserve">Ausnahmen </w:t>
      </w:r>
      <w:r w:rsidRPr="007A6096">
        <w:rPr>
          <w:rFonts w:cs="Arial"/>
        </w:rPr>
        <w:t xml:space="preserve">sind denkbar bei Vermeidung eines Schulwechsels minderjähriger Kinder während des Schuljahres, wenn die Angemessenheitsgrenze nur geringfügig überschritten ist und der künftige Erhalt der Wohnung gesichert erscheint oder kostenangemessener Ersatzwohnraum nicht zur Verfügung steht. </w:t>
      </w:r>
    </w:p>
    <w:p w:rsidR="00EA22D4" w:rsidRDefault="00EA22D4" w:rsidP="00722B92">
      <w:pPr>
        <w:jc w:val="both"/>
        <w:rPr>
          <w:rFonts w:cs="Arial"/>
          <w:b/>
        </w:rPr>
      </w:pPr>
    </w:p>
    <w:p w:rsidR="001E5E3E" w:rsidRPr="00993152" w:rsidRDefault="00EA22D4" w:rsidP="00722B92">
      <w:pPr>
        <w:jc w:val="both"/>
        <w:rPr>
          <w:rFonts w:cs="Arial"/>
          <w:i/>
          <w:sz w:val="20"/>
          <w:szCs w:val="20"/>
        </w:rPr>
      </w:pPr>
      <w:r>
        <w:rPr>
          <w:rFonts w:cs="Arial"/>
          <w:b/>
        </w:rPr>
        <w:t xml:space="preserve">Standartfall einer Übernahme </w:t>
      </w:r>
      <w:r w:rsidR="004424BC" w:rsidRPr="00993152">
        <w:rPr>
          <w:rFonts w:cs="Arial"/>
        </w:rPr>
        <w:t xml:space="preserve"> ist</w:t>
      </w:r>
      <w:r>
        <w:rPr>
          <w:rFonts w:cs="Arial"/>
        </w:rPr>
        <w:t>, wenn</w:t>
      </w:r>
      <w:r w:rsidR="004424BC" w:rsidRPr="00993152">
        <w:rPr>
          <w:rFonts w:cs="Arial"/>
        </w:rPr>
        <w:t xml:space="preserve"> </w:t>
      </w:r>
      <w:r w:rsidR="001E5E3E" w:rsidRPr="00993152">
        <w:rPr>
          <w:rFonts w:cs="Arial"/>
        </w:rPr>
        <w:t xml:space="preserve">eine </w:t>
      </w:r>
      <w:r w:rsidR="001E5E3E" w:rsidRPr="00993152">
        <w:rPr>
          <w:rFonts w:cs="Arial"/>
          <w:u w:val="single"/>
        </w:rPr>
        <w:t>ernsthaft drohende</w:t>
      </w:r>
      <w:r w:rsidR="001E5E3E" w:rsidRPr="00993152">
        <w:rPr>
          <w:rFonts w:cs="Arial"/>
        </w:rPr>
        <w:t xml:space="preserve"> </w:t>
      </w:r>
      <w:r w:rsidR="004424BC" w:rsidRPr="00993152">
        <w:rPr>
          <w:rFonts w:cs="Arial"/>
        </w:rPr>
        <w:t>Wohnraumk</w:t>
      </w:r>
      <w:r w:rsidR="001E5E3E" w:rsidRPr="00993152">
        <w:rPr>
          <w:rFonts w:cs="Arial"/>
        </w:rPr>
        <w:t>ündigung abgewendet werden kann</w:t>
      </w:r>
      <w:r w:rsidR="004424BC" w:rsidRPr="00993152">
        <w:rPr>
          <w:rFonts w:cs="Arial"/>
        </w:rPr>
        <w:t>, oder bereits Räumungsklage eingereicht wurde</w:t>
      </w:r>
      <w:r w:rsidR="00907223" w:rsidRPr="00993152">
        <w:rPr>
          <w:rFonts w:cs="Arial"/>
        </w:rPr>
        <w:t xml:space="preserve"> </w:t>
      </w:r>
      <w:r w:rsidR="00907223" w:rsidRPr="00993152">
        <w:rPr>
          <w:rFonts w:cs="Arial"/>
          <w:i/>
          <w:sz w:val="20"/>
          <w:szCs w:val="20"/>
        </w:rPr>
        <w:t>(TB § 22 SGB II -</w:t>
      </w:r>
      <w:r w:rsidR="00F76D0C" w:rsidRPr="00993152">
        <w:rPr>
          <w:rFonts w:cs="Arial"/>
          <w:i/>
          <w:sz w:val="20"/>
          <w:szCs w:val="20"/>
        </w:rPr>
        <w:t>50 und 51).</w:t>
      </w:r>
    </w:p>
    <w:p w:rsidR="00D1082F" w:rsidRPr="00993152" w:rsidRDefault="00D1082F" w:rsidP="00722B92">
      <w:pPr>
        <w:jc w:val="both"/>
        <w:rPr>
          <w:rFonts w:cs="Arial"/>
        </w:rPr>
      </w:pPr>
      <w:r w:rsidRPr="00993152">
        <w:rPr>
          <w:rFonts w:cs="Arial"/>
        </w:rPr>
        <w:t>Es ist jedoch regelmäßig nicht zumutbar, erst eine Räumungsklage abzuwarten, da diese nur ein Kriterium der Abwägung  aller Umstände des Einzelfalls ist (vgl. Bayerisches LSG 21.01.2013 –L 7 AS 882/12 B ER-).</w:t>
      </w:r>
    </w:p>
    <w:p w:rsidR="00907223" w:rsidRPr="00993152" w:rsidRDefault="00907223" w:rsidP="00722B92">
      <w:pPr>
        <w:jc w:val="both"/>
        <w:rPr>
          <w:rFonts w:cs="Arial"/>
        </w:rPr>
      </w:pPr>
    </w:p>
    <w:p w:rsidR="000503B9" w:rsidRPr="00993152" w:rsidRDefault="001E5E3E" w:rsidP="004E088C">
      <w:pPr>
        <w:jc w:val="both"/>
        <w:rPr>
          <w:rFonts w:cs="Arial"/>
          <w:b/>
        </w:rPr>
      </w:pPr>
      <w:r w:rsidRPr="00993152">
        <w:rPr>
          <w:rFonts w:cs="Arial"/>
        </w:rPr>
        <w:t xml:space="preserve">Droht selbst bei </w:t>
      </w:r>
      <w:r w:rsidR="004424BC" w:rsidRPr="00993152">
        <w:rPr>
          <w:rFonts w:cs="Arial"/>
        </w:rPr>
        <w:t xml:space="preserve">Zahlung </w:t>
      </w:r>
      <w:r w:rsidRPr="00993152">
        <w:rPr>
          <w:rFonts w:cs="Arial"/>
        </w:rPr>
        <w:t xml:space="preserve">der Schulden eine Räumung der Wohnung oder </w:t>
      </w:r>
      <w:r w:rsidRPr="00993152">
        <w:rPr>
          <w:rFonts w:cs="Arial"/>
          <w:b/>
        </w:rPr>
        <w:t>ist der Vermieter nicht bereit</w:t>
      </w:r>
      <w:r w:rsidR="004424BC" w:rsidRPr="00993152">
        <w:rPr>
          <w:rFonts w:cs="Arial"/>
          <w:b/>
        </w:rPr>
        <w:t xml:space="preserve"> die Kündigung zurückzunehmen, ist eine Übernahme nicht gerechtfertigt</w:t>
      </w:r>
    </w:p>
    <w:p w:rsidR="001E5E3E" w:rsidRPr="00993152" w:rsidRDefault="000503B9" w:rsidP="004E088C">
      <w:pPr>
        <w:jc w:val="both"/>
        <w:rPr>
          <w:rFonts w:cs="Arial"/>
        </w:rPr>
      </w:pPr>
      <w:r w:rsidRPr="00993152">
        <w:rPr>
          <w:rFonts w:cs="Arial"/>
        </w:rPr>
        <w:t>(</w:t>
      </w:r>
      <w:r w:rsidRPr="00993152">
        <w:rPr>
          <w:rFonts w:eastAsia="Calibri" w:cs="Arial"/>
        </w:rPr>
        <w:t>LSG Nordrhein-Westfalen  05.11.2008 – L 7 B 273/08 AS ER</w:t>
      </w:r>
      <w:r w:rsidR="0035461B" w:rsidRPr="00993152">
        <w:rPr>
          <w:rFonts w:eastAsia="Calibri" w:cs="Arial"/>
        </w:rPr>
        <w:t>-</w:t>
      </w:r>
      <w:r w:rsidRPr="00993152">
        <w:rPr>
          <w:rFonts w:cs="Arial"/>
        </w:rPr>
        <w:t>).</w:t>
      </w:r>
    </w:p>
    <w:p w:rsidR="004424BC" w:rsidRPr="00993152" w:rsidRDefault="004424BC" w:rsidP="00722B92">
      <w:pPr>
        <w:jc w:val="both"/>
        <w:rPr>
          <w:rFonts w:cs="Arial"/>
        </w:rPr>
      </w:pPr>
    </w:p>
    <w:p w:rsidR="004424BC" w:rsidRPr="00993152" w:rsidRDefault="004424BC" w:rsidP="00722B92">
      <w:pPr>
        <w:jc w:val="both"/>
        <w:rPr>
          <w:rFonts w:cs="Arial"/>
          <w:i/>
          <w:sz w:val="20"/>
          <w:szCs w:val="20"/>
        </w:rPr>
      </w:pPr>
      <w:r w:rsidRPr="00993152">
        <w:rPr>
          <w:rFonts w:cs="Arial"/>
        </w:rPr>
        <w:t xml:space="preserve">Auch bei </w:t>
      </w:r>
      <w:r w:rsidRPr="00993152">
        <w:rPr>
          <w:rFonts w:cs="Arial"/>
          <w:b/>
        </w:rPr>
        <w:t>wiederholten Mietrückständen</w:t>
      </w:r>
      <w:r w:rsidRPr="00993152">
        <w:rPr>
          <w:rFonts w:cs="Arial"/>
        </w:rPr>
        <w:t xml:space="preserve"> trotz ausreichenden Einkommen, bzw. zweckentfremdet</w:t>
      </w:r>
      <w:r w:rsidR="00907223" w:rsidRPr="00993152">
        <w:rPr>
          <w:rFonts w:cs="Arial"/>
        </w:rPr>
        <w:t>en</w:t>
      </w:r>
      <w:r w:rsidRPr="00993152">
        <w:rPr>
          <w:rFonts w:cs="Arial"/>
        </w:rPr>
        <w:t xml:space="preserve"> Leistungen ist eine Übernahme wohl nicht gerechtfertigt, zumindest dann, wenn kein Selbsthilfewillen des LB erkennbar ist</w:t>
      </w:r>
      <w:r w:rsidR="00F76D0C" w:rsidRPr="00993152">
        <w:rPr>
          <w:rFonts w:cs="Arial"/>
        </w:rPr>
        <w:t xml:space="preserve"> </w:t>
      </w:r>
      <w:r w:rsidR="00F76D0C" w:rsidRPr="00993152">
        <w:rPr>
          <w:rFonts w:cs="Arial"/>
          <w:i/>
          <w:sz w:val="20"/>
          <w:szCs w:val="20"/>
        </w:rPr>
        <w:t>(TB § 22 SGB II -52)</w:t>
      </w:r>
      <w:r w:rsidRPr="00993152">
        <w:rPr>
          <w:rFonts w:cs="Arial"/>
          <w:i/>
          <w:sz w:val="20"/>
          <w:szCs w:val="20"/>
        </w:rPr>
        <w:t>.</w:t>
      </w:r>
    </w:p>
    <w:p w:rsidR="000503B9" w:rsidRPr="00993152" w:rsidRDefault="000503B9" w:rsidP="00722B92">
      <w:pPr>
        <w:jc w:val="both"/>
        <w:rPr>
          <w:rFonts w:cs="Arial"/>
          <w:i/>
          <w:sz w:val="20"/>
          <w:szCs w:val="20"/>
        </w:rPr>
      </w:pPr>
    </w:p>
    <w:p w:rsidR="004424BC" w:rsidRPr="00993152" w:rsidRDefault="004424BC" w:rsidP="00722B92">
      <w:pPr>
        <w:jc w:val="both"/>
        <w:rPr>
          <w:rFonts w:cs="Arial"/>
        </w:rPr>
      </w:pPr>
    </w:p>
    <w:p w:rsidR="004424BC" w:rsidRPr="00993152" w:rsidRDefault="004424BC" w:rsidP="00722B92">
      <w:pPr>
        <w:jc w:val="both"/>
        <w:rPr>
          <w:rFonts w:cs="Arial"/>
        </w:rPr>
      </w:pPr>
      <w:r w:rsidRPr="00993152">
        <w:rPr>
          <w:rFonts w:cs="Arial"/>
        </w:rPr>
        <w:t xml:space="preserve">Bei </w:t>
      </w:r>
      <w:r w:rsidRPr="00993152">
        <w:rPr>
          <w:rFonts w:cs="Arial"/>
          <w:b/>
        </w:rPr>
        <w:t>Eigenheimbesitzer</w:t>
      </w:r>
      <w:r w:rsidRPr="00993152">
        <w:rPr>
          <w:rFonts w:cs="Arial"/>
        </w:rPr>
        <w:t xml:space="preserve"> kann eine Übernahme von Schulden auch in Bezug auf die </w:t>
      </w:r>
      <w:r w:rsidRPr="00993152">
        <w:rPr>
          <w:rFonts w:cs="Arial"/>
          <w:b/>
        </w:rPr>
        <w:t>Tilgungsleistungen</w:t>
      </w:r>
      <w:r w:rsidRPr="00993152">
        <w:rPr>
          <w:rFonts w:cs="Arial"/>
        </w:rPr>
        <w:t xml:space="preserve"> in Betracht kommen wenn die KdU angemessen sind und der Verlust des Eigenheimes droht (Berlit in LpK-SGB II</w:t>
      </w:r>
      <w:r w:rsidR="00311E5A" w:rsidRPr="00993152">
        <w:rPr>
          <w:rFonts w:cs="Arial"/>
        </w:rPr>
        <w:t>, 4. Aufl 2011, § 22 Rn</w:t>
      </w:r>
      <w:r w:rsidRPr="00993152">
        <w:rPr>
          <w:rFonts w:cs="Arial"/>
        </w:rPr>
        <w:t>.</w:t>
      </w:r>
      <w:r w:rsidR="00311E5A" w:rsidRPr="00993152">
        <w:rPr>
          <w:rFonts w:cs="Arial"/>
        </w:rPr>
        <w:t xml:space="preserve"> 192).</w:t>
      </w:r>
    </w:p>
    <w:p w:rsidR="00311E5A" w:rsidRPr="00993152" w:rsidRDefault="00311E5A" w:rsidP="00722B92">
      <w:pPr>
        <w:jc w:val="both"/>
        <w:rPr>
          <w:rFonts w:cs="Arial"/>
        </w:rPr>
      </w:pPr>
    </w:p>
    <w:p w:rsidR="00C74030" w:rsidRPr="00993152" w:rsidRDefault="00C74030" w:rsidP="00C74030">
      <w:pPr>
        <w:jc w:val="both"/>
      </w:pPr>
      <w:r w:rsidRPr="00993152">
        <w:t xml:space="preserve">Die Übernahme von </w:t>
      </w:r>
      <w:r w:rsidRPr="00993152">
        <w:rPr>
          <w:b/>
        </w:rPr>
        <w:t>Energiekostenrückstände</w:t>
      </w:r>
      <w:r w:rsidR="00F76D0C" w:rsidRPr="00993152">
        <w:rPr>
          <w:b/>
        </w:rPr>
        <w:t xml:space="preserve"> </w:t>
      </w:r>
      <w:r w:rsidR="00F76D0C" w:rsidRPr="00993152">
        <w:t>wie</w:t>
      </w:r>
      <w:r w:rsidR="00F76D0C" w:rsidRPr="00993152">
        <w:rPr>
          <w:b/>
        </w:rPr>
        <w:t xml:space="preserve"> </w:t>
      </w:r>
      <w:r w:rsidRPr="00993152">
        <w:t>Stromschulden</w:t>
      </w:r>
      <w:r w:rsidR="00F76D0C" w:rsidRPr="00993152">
        <w:t xml:space="preserve"> </w:t>
      </w:r>
      <w:r w:rsidR="00F76D0C" w:rsidRPr="00993152">
        <w:rPr>
          <w:i/>
          <w:sz w:val="20"/>
          <w:szCs w:val="20"/>
        </w:rPr>
        <w:t>(TB § 22 SGB II -60 und 61)</w:t>
      </w:r>
      <w:r w:rsidRPr="00993152">
        <w:t xml:space="preserve"> ist regelmäßig nicht gerechtfertigt, wenn keine Gewähr besteht, dass zukünftig keine Rückstände auflaufen oder es dem LB möglich und zuzumuten ist, die weitere Energielieferung durch eine Kreditaufnahme zu sichern. Gleiches gilt in Missbrauchsfällen, z. B. wenn die Stromkosten offensichtlich im Vertrauen auf Leistungen nach § 22 Abs. 8 SGB II nicht gezahlt worden sind, ein ernsthafter Wille zur Selbsthilfe also nicht erkennbar ist.</w:t>
      </w:r>
    </w:p>
    <w:p w:rsidR="00C74030" w:rsidRPr="00993152" w:rsidRDefault="00C74030" w:rsidP="00C74030">
      <w:pPr>
        <w:jc w:val="both"/>
        <w:rPr>
          <w:rFonts w:cs="Arial"/>
        </w:rPr>
      </w:pPr>
      <w:r w:rsidRPr="00993152">
        <w:rPr>
          <w:rFonts w:cs="Arial"/>
        </w:rPr>
        <w:t xml:space="preserve"> </w:t>
      </w:r>
    </w:p>
    <w:p w:rsidR="00C74030" w:rsidRPr="00993152" w:rsidRDefault="00C74030" w:rsidP="00C74030">
      <w:pPr>
        <w:pStyle w:val="Textkrper2"/>
        <w:spacing w:after="0" w:line="240" w:lineRule="auto"/>
        <w:jc w:val="both"/>
        <w:rPr>
          <w:rFonts w:ascii="Arial" w:hAnsi="Arial" w:cs="Arial"/>
          <w:sz w:val="22"/>
          <w:szCs w:val="22"/>
        </w:rPr>
      </w:pPr>
      <w:r w:rsidRPr="00993152">
        <w:rPr>
          <w:rFonts w:ascii="Arial" w:hAnsi="Arial" w:cs="Arial"/>
          <w:sz w:val="22"/>
          <w:szCs w:val="22"/>
        </w:rPr>
        <w:t xml:space="preserve">Des </w:t>
      </w:r>
      <w:r w:rsidR="003250A6" w:rsidRPr="00993152">
        <w:rPr>
          <w:rFonts w:ascii="Arial" w:hAnsi="Arial" w:cs="Arial"/>
          <w:sz w:val="22"/>
          <w:szCs w:val="22"/>
        </w:rPr>
        <w:t>Weiteren</w:t>
      </w:r>
      <w:r w:rsidRPr="00993152">
        <w:rPr>
          <w:rFonts w:ascii="Arial" w:hAnsi="Arial" w:cs="Arial"/>
          <w:sz w:val="22"/>
          <w:szCs w:val="22"/>
        </w:rPr>
        <w:t xml:space="preserve"> ist der LB darauf hinzuweisen, dass nach § 33 Abs. 2 Satz 2 der Verordnung über Allgemeine Bedingungen für die Elektrizitätsversorgung (AVBEltV) die Einstellung der </w:t>
      </w:r>
      <w:r w:rsidR="00907223" w:rsidRPr="00993152">
        <w:rPr>
          <w:rFonts w:ascii="Arial" w:hAnsi="Arial" w:cs="Arial"/>
          <w:sz w:val="22"/>
          <w:szCs w:val="22"/>
        </w:rPr>
        <w:t>V</w:t>
      </w:r>
      <w:r w:rsidRPr="00993152">
        <w:rPr>
          <w:rFonts w:ascii="Arial" w:hAnsi="Arial" w:cs="Arial"/>
          <w:sz w:val="22"/>
          <w:szCs w:val="22"/>
        </w:rPr>
        <w:t>ersorgung dann nicht vorzunehmen ist, wenn der Kunde darlegt, dass die Folgen der Einstellung außer Verhältnis zur Schwere der Zuwiderhandlung stehen, und hinreichende Aussicht besteht, dass der Kunde seinen Verpflichtungen nachkommt.</w:t>
      </w:r>
    </w:p>
    <w:p w:rsidR="00311E5A" w:rsidRPr="00993152" w:rsidRDefault="00C74030" w:rsidP="00C74030">
      <w:pPr>
        <w:jc w:val="both"/>
      </w:pPr>
      <w:r w:rsidRPr="00993152">
        <w:t>Solange diese Aussicht besteht, kommt eine Übernahme der rückständigen Stromkosten  nicht in Betracht. Bei der Geltendmachung seiner Rechte gegenüber dem Anbieter ist der LB vom Jobcenter nach Möglichkeit zu unterstützen.</w:t>
      </w:r>
      <w:r w:rsidR="00692B0E">
        <w:t xml:space="preserve"> </w:t>
      </w:r>
      <w:r w:rsidR="00692B0E" w:rsidRPr="00E01D59">
        <w:t>Hierbei ist die Anlage zu Rz. 24.3 der FH der BA hilfreich und ein möglicher Ansatzpunkt um die Sperrung abzuwenden</w:t>
      </w:r>
      <w:r w:rsidR="00692B0E" w:rsidRPr="00692B0E">
        <w:rPr>
          <w:color w:val="31849B" w:themeColor="accent5" w:themeShade="BF"/>
        </w:rPr>
        <w:t>.</w:t>
      </w:r>
    </w:p>
    <w:p w:rsidR="00806B4C" w:rsidRPr="00993152" w:rsidRDefault="00806B4C" w:rsidP="00C74030">
      <w:pPr>
        <w:jc w:val="both"/>
      </w:pPr>
    </w:p>
    <w:p w:rsidR="00806B4C" w:rsidRPr="00993152" w:rsidRDefault="00806B4C" w:rsidP="00806B4C">
      <w:pPr>
        <w:jc w:val="both"/>
        <w:rPr>
          <w:rFonts w:cs="Arial"/>
        </w:rPr>
      </w:pPr>
      <w:r w:rsidRPr="00993152">
        <w:rPr>
          <w:rFonts w:cs="Arial"/>
        </w:rPr>
        <w:t>Eine darlehensweise Übernahme von Stromrückständen ist nicht im Sinne von § 22 Abs. 8 Satz 2 SGB II gerechtfertigt, wenn zuvor nicht alle zumutbaren Selbsthilfemöglichkeiten ausgeschöpft worden sind. Der LB muss sich im Rahmen der Selbsthilfe ernsthaft um Ratenzahlungsvereinbarungen beim bisherigen Versorger als auch um einen Vertragsabschluss mit einem anderen Anbieter bemühen. Es ist zumutbar, dass sich der LB im Zivilrechtsweg gegen eine angekündigte oder ausgeübte Stromsperre wendet.</w:t>
      </w:r>
    </w:p>
    <w:p w:rsidR="00806B4C" w:rsidRPr="00993152" w:rsidRDefault="00806B4C" w:rsidP="00806B4C">
      <w:pPr>
        <w:jc w:val="both"/>
        <w:rPr>
          <w:rFonts w:cs="Arial"/>
        </w:rPr>
      </w:pPr>
      <w:r w:rsidRPr="00993152">
        <w:rPr>
          <w:rFonts w:cs="Arial"/>
        </w:rPr>
        <w:t>(vgl. LSG Nordrhein-Westfalen 08.10.2012 -12AS 1442/12 B ER-).</w:t>
      </w:r>
    </w:p>
    <w:p w:rsidR="00EA1BA2" w:rsidRPr="00993152" w:rsidRDefault="00EA1BA2" w:rsidP="00C74030">
      <w:pPr>
        <w:jc w:val="both"/>
      </w:pPr>
    </w:p>
    <w:p w:rsidR="0035461B" w:rsidRPr="00993152" w:rsidRDefault="00EA1BA2" w:rsidP="00C74030">
      <w:pPr>
        <w:jc w:val="both"/>
      </w:pPr>
      <w:r w:rsidRPr="00993152">
        <w:lastRenderedPageBreak/>
        <w:t xml:space="preserve">Eine Übernahme von Stromkosten kann von  der Einwilligung des LB abhängig gemacht werden, dass künftige Vorauszahlungen  direkt von den Leistungen einbehalten  und vom Jobcenter an den Energieversorger überwiesen werden </w:t>
      </w:r>
    </w:p>
    <w:p w:rsidR="00EA1BA2" w:rsidRPr="00993152" w:rsidRDefault="00EA1BA2" w:rsidP="00C74030">
      <w:pPr>
        <w:jc w:val="both"/>
      </w:pPr>
      <w:r w:rsidRPr="00993152">
        <w:t xml:space="preserve">(vgl. </w:t>
      </w:r>
      <w:r w:rsidR="0035461B" w:rsidRPr="00993152">
        <w:t xml:space="preserve">Bayerisches </w:t>
      </w:r>
      <w:r w:rsidRPr="00993152">
        <w:t>LSG  07.12.2005 –</w:t>
      </w:r>
      <w:r w:rsidR="0035461B" w:rsidRPr="00993152">
        <w:t xml:space="preserve"> </w:t>
      </w:r>
      <w:r w:rsidRPr="00993152">
        <w:t>L 11 B 530/05 SO ER</w:t>
      </w:r>
      <w:r w:rsidR="0035461B" w:rsidRPr="00993152">
        <w:t>-</w:t>
      </w:r>
      <w:r w:rsidRPr="00993152">
        <w:t>).</w:t>
      </w:r>
    </w:p>
    <w:p w:rsidR="00F76D0C" w:rsidRPr="00993152" w:rsidRDefault="00F76D0C" w:rsidP="00C74030">
      <w:pPr>
        <w:jc w:val="both"/>
      </w:pPr>
    </w:p>
    <w:p w:rsidR="00692B0E" w:rsidRPr="00E01D59" w:rsidRDefault="00692B0E" w:rsidP="00692B0E">
      <w:pPr>
        <w:jc w:val="both"/>
        <w:rPr>
          <w:rFonts w:cs="Arial"/>
          <w:bCs/>
        </w:rPr>
      </w:pPr>
      <w:r w:rsidRPr="00E01D59">
        <w:rPr>
          <w:rFonts w:cs="Arial"/>
          <w:bCs/>
        </w:rPr>
        <w:t xml:space="preserve">Wurde der Strom </w:t>
      </w:r>
      <w:r w:rsidRPr="00E01D59">
        <w:rPr>
          <w:rFonts w:cs="Arial"/>
          <w:b/>
          <w:bCs/>
        </w:rPr>
        <w:t>bereits gesperrt</w:t>
      </w:r>
      <w:r w:rsidRPr="00E01D59">
        <w:rPr>
          <w:rFonts w:cs="Arial"/>
          <w:bCs/>
        </w:rPr>
        <w:t xml:space="preserve"> sind die Schulden immer § 22 Abs. 8 zuzuordnen. Dies gilt auch, wenn die Schulden während der Bedarfszeit aufgelaufen sind. Die FH der BA Nr. 24.2 ff  zu § 24 SGB II stehen dieser Konstellation nicht entgegen.</w:t>
      </w:r>
    </w:p>
    <w:p w:rsidR="00F76D0C" w:rsidRDefault="00F76D0C" w:rsidP="00C74030">
      <w:pPr>
        <w:jc w:val="both"/>
        <w:rPr>
          <w:color w:val="31849B" w:themeColor="accent5" w:themeShade="BF"/>
        </w:rPr>
      </w:pPr>
    </w:p>
    <w:p w:rsidR="006F7135" w:rsidRDefault="006F7135" w:rsidP="00C74030">
      <w:pPr>
        <w:jc w:val="both"/>
        <w:rPr>
          <w:color w:val="31849B" w:themeColor="accent5" w:themeShade="BF"/>
        </w:rPr>
      </w:pPr>
    </w:p>
    <w:p w:rsidR="00C74030" w:rsidRPr="00993152" w:rsidRDefault="0076691E" w:rsidP="004022CB">
      <w:pPr>
        <w:pStyle w:val="berschrift1"/>
        <w:numPr>
          <w:ilvl w:val="0"/>
          <w:numId w:val="0"/>
        </w:numPr>
        <w:rPr>
          <w:sz w:val="24"/>
          <w:szCs w:val="24"/>
        </w:rPr>
      </w:pPr>
      <w:r w:rsidRPr="00993152">
        <w:rPr>
          <w:sz w:val="24"/>
          <w:szCs w:val="24"/>
        </w:rPr>
        <w:t xml:space="preserve">9. </w:t>
      </w:r>
      <w:r w:rsidR="003F22C2" w:rsidRPr="00993152">
        <w:rPr>
          <w:sz w:val="24"/>
          <w:szCs w:val="24"/>
        </w:rPr>
        <w:t xml:space="preserve"> </w:t>
      </w:r>
      <w:r w:rsidRPr="00993152">
        <w:rPr>
          <w:sz w:val="24"/>
          <w:szCs w:val="24"/>
        </w:rPr>
        <w:t xml:space="preserve">Mitteilung des Amtsgerichts bei Eingang von Räumungsklagen </w:t>
      </w:r>
      <w:r w:rsidR="003F22C2" w:rsidRPr="00993152">
        <w:rPr>
          <w:sz w:val="24"/>
          <w:szCs w:val="24"/>
        </w:rPr>
        <w:t xml:space="preserve">                 </w:t>
      </w:r>
      <w:r w:rsidRPr="00993152">
        <w:rPr>
          <w:sz w:val="24"/>
          <w:szCs w:val="24"/>
        </w:rPr>
        <w:t xml:space="preserve">    </w:t>
      </w:r>
      <w:r w:rsidR="003F22C2" w:rsidRPr="00993152">
        <w:rPr>
          <w:sz w:val="24"/>
          <w:szCs w:val="24"/>
        </w:rPr>
        <w:t xml:space="preserve">   </w:t>
      </w:r>
      <w:r w:rsidR="004022CB" w:rsidRPr="00993152">
        <w:rPr>
          <w:sz w:val="24"/>
          <w:szCs w:val="24"/>
        </w:rPr>
        <w:t xml:space="preserve"> </w:t>
      </w:r>
      <w:r w:rsidRPr="00993152">
        <w:rPr>
          <w:sz w:val="24"/>
          <w:szCs w:val="24"/>
        </w:rPr>
        <w:t>(§ 22 Abs. 9   SGB II)</w:t>
      </w:r>
    </w:p>
    <w:p w:rsidR="000A19DE" w:rsidRPr="00993152" w:rsidRDefault="000A19DE" w:rsidP="00C74030">
      <w:pPr>
        <w:jc w:val="both"/>
        <w:rPr>
          <w:b/>
          <w:sz w:val="24"/>
          <w:szCs w:val="24"/>
        </w:rPr>
      </w:pPr>
    </w:p>
    <w:p w:rsidR="000A19DE" w:rsidRPr="00993152" w:rsidRDefault="000A19DE" w:rsidP="00C74030">
      <w:pPr>
        <w:jc w:val="both"/>
      </w:pPr>
      <w:r w:rsidRPr="00993152">
        <w:t>Die Mitteilungen des Amtsgerichts an das Jobcenter  über dort eingegangene Räumungsklagen dienen lediglich dem Schutz vor Obdachlosigkeit und sollen dem Jobcenter frühzeitig die Möglichkeit  zur Prüfung geben</w:t>
      </w:r>
      <w:r w:rsidR="005A353D" w:rsidRPr="00993152">
        <w:t>, ob ein Verlust der Unterkunft durch Übernahme der Mietrückstände (soweit die Voraussetzungen des Abs. 8 vorliegen) verhindert werden kann.</w:t>
      </w:r>
    </w:p>
    <w:p w:rsidR="005A353D" w:rsidRPr="00993152" w:rsidRDefault="005A353D" w:rsidP="00C74030">
      <w:pPr>
        <w:jc w:val="both"/>
      </w:pPr>
    </w:p>
    <w:p w:rsidR="005A353D" w:rsidRPr="00993152" w:rsidRDefault="005A353D" w:rsidP="00C74030">
      <w:pPr>
        <w:jc w:val="both"/>
      </w:pPr>
      <w:r w:rsidRPr="00993152">
        <w:t>Die Mitteilung selbst löst nur das Informationsproblem, da LB nicht immer rechtzeitig das Jobcenter informieren, es ersetzt bei Personen, die noch keine laufenden Leistungen beziehen, nicht den nach § 37 Abs. 1 SGB II erforderlichen Antrag (so auch Berlit in LPK-SGB II, 4. Auflage 2011, § 22 Rn. 204)</w:t>
      </w:r>
      <w:r w:rsidR="00185D98" w:rsidRPr="00993152">
        <w:t>.</w:t>
      </w:r>
      <w:r w:rsidRPr="00993152">
        <w:t xml:space="preserve"> </w:t>
      </w:r>
    </w:p>
    <w:p w:rsidR="00E77FE0" w:rsidRPr="00993152" w:rsidRDefault="00E77FE0" w:rsidP="00C74030">
      <w:pPr>
        <w:jc w:val="both"/>
      </w:pPr>
    </w:p>
    <w:p w:rsidR="00E77FE0" w:rsidRDefault="00E77FE0" w:rsidP="00C74030">
      <w:pPr>
        <w:jc w:val="both"/>
      </w:pPr>
    </w:p>
    <w:p w:rsidR="00C810D5" w:rsidRDefault="00C810D5" w:rsidP="00C74030">
      <w:pPr>
        <w:jc w:val="both"/>
      </w:pPr>
    </w:p>
    <w:p w:rsidR="00C810D5" w:rsidRPr="00993152" w:rsidRDefault="00C810D5" w:rsidP="00C74030">
      <w:pPr>
        <w:jc w:val="both"/>
      </w:pPr>
    </w:p>
    <w:p w:rsidR="003F22C2" w:rsidRPr="00993152" w:rsidRDefault="0080457C" w:rsidP="00E5033E">
      <w:pPr>
        <w:pStyle w:val="berschrift1"/>
        <w:numPr>
          <w:ilvl w:val="0"/>
          <w:numId w:val="18"/>
        </w:numPr>
        <w:ind w:left="567" w:hanging="567"/>
      </w:pPr>
      <w:r w:rsidRPr="00993152">
        <w:t>Leistungen für Erstausstattungen</w:t>
      </w:r>
    </w:p>
    <w:p w:rsidR="0080457C" w:rsidRPr="00993152" w:rsidRDefault="00852E15" w:rsidP="006230FF">
      <w:pPr>
        <w:pStyle w:val="berschrift1"/>
        <w:numPr>
          <w:ilvl w:val="0"/>
          <w:numId w:val="0"/>
        </w:numPr>
        <w:ind w:left="709" w:hanging="709"/>
      </w:pPr>
      <w:r w:rsidRPr="00993152">
        <w:t xml:space="preserve"> </w:t>
      </w:r>
      <w:r w:rsidR="003F22C2" w:rsidRPr="00993152">
        <w:t xml:space="preserve">    </w:t>
      </w:r>
      <w:r w:rsidR="00213C9B" w:rsidRPr="00993152">
        <w:t>(</w:t>
      </w:r>
      <w:r w:rsidR="0080457C" w:rsidRPr="00993152">
        <w:t xml:space="preserve">§ 24 Abs. 3 Satz 1 Nr. 1 und 2 </w:t>
      </w:r>
      <w:r w:rsidR="00213C9B" w:rsidRPr="00993152">
        <w:t xml:space="preserve">  </w:t>
      </w:r>
      <w:r w:rsidR="0080457C" w:rsidRPr="00993152">
        <w:t>SGBII)</w:t>
      </w:r>
    </w:p>
    <w:p w:rsidR="0080457C" w:rsidRPr="00993152" w:rsidRDefault="0080457C" w:rsidP="0080457C">
      <w:pPr>
        <w:jc w:val="both"/>
      </w:pPr>
    </w:p>
    <w:p w:rsidR="003722ED" w:rsidRPr="00993152" w:rsidRDefault="00CD2371" w:rsidP="00E5033E">
      <w:pPr>
        <w:pStyle w:val="berschrift1"/>
        <w:numPr>
          <w:ilvl w:val="0"/>
          <w:numId w:val="20"/>
        </w:numPr>
        <w:ind w:left="567" w:hanging="567"/>
        <w:rPr>
          <w:sz w:val="24"/>
          <w:szCs w:val="24"/>
        </w:rPr>
      </w:pPr>
      <w:r w:rsidRPr="00993152">
        <w:rPr>
          <w:sz w:val="24"/>
          <w:szCs w:val="24"/>
        </w:rPr>
        <w:t>Allgemeines zu § 24 Abs. 3 SGB II</w:t>
      </w:r>
    </w:p>
    <w:p w:rsidR="000427C0" w:rsidRPr="00993152" w:rsidRDefault="000427C0" w:rsidP="000427C0">
      <w:pPr>
        <w:ind w:left="142"/>
        <w:jc w:val="both"/>
        <w:rPr>
          <w:b/>
          <w:sz w:val="24"/>
          <w:szCs w:val="24"/>
        </w:rPr>
      </w:pPr>
    </w:p>
    <w:p w:rsidR="00EF1AB4" w:rsidRDefault="00EF1AB4" w:rsidP="000427C0">
      <w:pPr>
        <w:ind w:left="142"/>
        <w:jc w:val="both"/>
      </w:pPr>
      <w:r w:rsidRPr="00993152">
        <w:t xml:space="preserve">Die Bedarfe nach § 24 Abs. 3 SGB II sind </w:t>
      </w:r>
      <w:r w:rsidRPr="00993152">
        <w:rPr>
          <w:b/>
        </w:rPr>
        <w:t>gesondert zu beantragen</w:t>
      </w:r>
      <w:r w:rsidRPr="00993152">
        <w:t>.</w:t>
      </w:r>
    </w:p>
    <w:p w:rsidR="00E01D59" w:rsidRDefault="00E01D59" w:rsidP="000427C0">
      <w:pPr>
        <w:ind w:left="142"/>
        <w:jc w:val="both"/>
      </w:pPr>
    </w:p>
    <w:p w:rsidR="003722ED" w:rsidRPr="00993152" w:rsidRDefault="003722ED" w:rsidP="003722ED">
      <w:pPr>
        <w:ind w:left="142"/>
        <w:jc w:val="both"/>
      </w:pPr>
      <w:r w:rsidRPr="00993152">
        <w:t xml:space="preserve">Leistungen nach § 24 Abs. 3 </w:t>
      </w:r>
      <w:r w:rsidR="00141218" w:rsidRPr="00993152">
        <w:t xml:space="preserve">SGB II </w:t>
      </w:r>
      <w:r w:rsidRPr="00993152">
        <w:t>erhalten auch Personen die nicht im laufenden Leistungsbezug stehen, die aber</w:t>
      </w:r>
      <w:r w:rsidR="00F830D3" w:rsidRPr="00993152">
        <w:t xml:space="preserve"> unter Berücksichtigung des einmaligen Bedarfes hilfebedürftig werden</w:t>
      </w:r>
      <w:r w:rsidR="00141218" w:rsidRPr="00993152">
        <w:t xml:space="preserve"> (§ 24 Abs. 3 Satz 3 SGB II)</w:t>
      </w:r>
      <w:r w:rsidR="00F830D3" w:rsidRPr="00993152">
        <w:t xml:space="preserve">. Die Berechnung der Hilfebedürftigkeit umfasst auch das Vermögen. Können Antragsteller die Erstausstattung aus Vermögen das über den Freibeträgen nach § 12 </w:t>
      </w:r>
      <w:r w:rsidR="005B4D9D" w:rsidRPr="00993152">
        <w:t xml:space="preserve">Abs. 2 </w:t>
      </w:r>
      <w:r w:rsidR="00F830D3" w:rsidRPr="00993152">
        <w:t>SGB II liegt</w:t>
      </w:r>
      <w:r w:rsidR="005B4D9D" w:rsidRPr="00993152">
        <w:t xml:space="preserve"> be</w:t>
      </w:r>
      <w:r w:rsidR="00F830D3" w:rsidRPr="00993152">
        <w:t>schaffen besteht kein Anspruch.</w:t>
      </w:r>
    </w:p>
    <w:p w:rsidR="005B4D9D" w:rsidRPr="00993152" w:rsidRDefault="005B4D9D" w:rsidP="003722ED">
      <w:pPr>
        <w:ind w:left="142"/>
        <w:jc w:val="both"/>
      </w:pPr>
    </w:p>
    <w:p w:rsidR="00F830D3" w:rsidRDefault="00F830D3" w:rsidP="003722ED">
      <w:pPr>
        <w:ind w:left="142"/>
        <w:jc w:val="both"/>
      </w:pPr>
      <w:r w:rsidRPr="00993152">
        <w:t>Liegt lediglich das Einkommen der Antragsteller über de</w:t>
      </w:r>
      <w:r w:rsidR="00141218" w:rsidRPr="00993152">
        <w:t>m</w:t>
      </w:r>
      <w:r w:rsidRPr="00993152">
        <w:t xml:space="preserve"> monatlichen Bedarf, so muss das Jobcenter nach pflichtgemäßen </w:t>
      </w:r>
      <w:r w:rsidRPr="00993152">
        <w:rPr>
          <w:b/>
        </w:rPr>
        <w:t xml:space="preserve">Ermessen </w:t>
      </w:r>
      <w:r w:rsidRPr="00993152">
        <w:t xml:space="preserve">entscheiden, für wie viele Monate (bis zu 7) das übersteigende Einkommen berücksichtigt wird (vgl. § 24 Abs. 3 Satz 4 SGBII). </w:t>
      </w:r>
    </w:p>
    <w:p w:rsidR="009047AD" w:rsidRDefault="009047AD" w:rsidP="003722ED">
      <w:pPr>
        <w:ind w:left="142"/>
        <w:jc w:val="both"/>
      </w:pPr>
    </w:p>
    <w:p w:rsidR="009047AD" w:rsidRPr="00993152" w:rsidRDefault="009047AD" w:rsidP="003722ED">
      <w:pPr>
        <w:ind w:left="142"/>
        <w:jc w:val="both"/>
      </w:pPr>
    </w:p>
    <w:p w:rsidR="00F830D3" w:rsidRPr="00993152" w:rsidRDefault="00F830D3" w:rsidP="003722ED">
      <w:pPr>
        <w:ind w:left="142"/>
        <w:jc w:val="both"/>
      </w:pPr>
      <w:r w:rsidRPr="00993152">
        <w:lastRenderedPageBreak/>
        <w:t xml:space="preserve">Hierbei </w:t>
      </w:r>
      <w:r w:rsidR="00141218" w:rsidRPr="00993152">
        <w:t>sind</w:t>
      </w:r>
      <w:r w:rsidRPr="00993152">
        <w:t xml:space="preserve"> die Höhe des heranzuziehenden Einkommens, die Höhe der Aufwendungen, die Art des Bedarfs, die Gebrauchsdauer der Waren und etwaige Besonderheiten in der Lebenssituation des LB zu berücksichtigen</w:t>
      </w:r>
      <w:r w:rsidR="005B4D9D" w:rsidRPr="00993152">
        <w:t xml:space="preserve"> und im Bescheid zu dokumentieren</w:t>
      </w:r>
      <w:r w:rsidRPr="00993152">
        <w:t xml:space="preserve">.  </w:t>
      </w:r>
    </w:p>
    <w:p w:rsidR="00F830D3" w:rsidRPr="00993152" w:rsidRDefault="00F830D3" w:rsidP="003722ED">
      <w:pPr>
        <w:ind w:left="142"/>
        <w:jc w:val="both"/>
      </w:pPr>
    </w:p>
    <w:p w:rsidR="003722ED" w:rsidRPr="00993152" w:rsidRDefault="00373E18" w:rsidP="003722ED">
      <w:pPr>
        <w:ind w:left="142"/>
        <w:jc w:val="both"/>
      </w:pPr>
      <w:r w:rsidRPr="00993152">
        <w:t>I</w:t>
      </w:r>
      <w:r w:rsidR="00F830D3" w:rsidRPr="00993152">
        <w:t xml:space="preserve">m Jobcenter Passau Land </w:t>
      </w:r>
      <w:r w:rsidRPr="00993152">
        <w:t>kann</w:t>
      </w:r>
      <w:r w:rsidR="00F830D3" w:rsidRPr="00993152">
        <w:t xml:space="preserve"> als Richtwert bei </w:t>
      </w:r>
      <w:r w:rsidR="004B418F" w:rsidRPr="00993152">
        <w:rPr>
          <w:b/>
        </w:rPr>
        <w:t>Möbel und Haushaltsgeräten</w:t>
      </w:r>
      <w:r w:rsidRPr="00993152">
        <w:t xml:space="preserve"> durchaus der </w:t>
      </w:r>
      <w:r w:rsidRPr="00993152">
        <w:rPr>
          <w:b/>
        </w:rPr>
        <w:t>Multiplikator von 7</w:t>
      </w:r>
      <w:r w:rsidRPr="00993152">
        <w:t xml:space="preserve"> herangezogen werden, da auch nicht </w:t>
      </w:r>
      <w:r w:rsidR="004B418F" w:rsidRPr="00993152">
        <w:t>l</w:t>
      </w:r>
      <w:r w:rsidRPr="00993152">
        <w:t>eistungsberechtigte Personen mit geringem Einkommen solche Anschaffungen auf mehrere Monate verteilen bzw. die weit verbreiteten Ratenzahlungsmöglichkeiten der Anbieter in Anspruch nehmen.</w:t>
      </w:r>
    </w:p>
    <w:p w:rsidR="00373E18" w:rsidRPr="00993152" w:rsidRDefault="00373E18" w:rsidP="003722ED">
      <w:pPr>
        <w:ind w:left="142"/>
        <w:jc w:val="both"/>
      </w:pPr>
      <w:r w:rsidRPr="00993152">
        <w:t xml:space="preserve">Voraussetzung hierbei ist jedoch die </w:t>
      </w:r>
      <w:r w:rsidRPr="00993152">
        <w:rPr>
          <w:b/>
        </w:rPr>
        <w:t>Prognose</w:t>
      </w:r>
      <w:r w:rsidRPr="00993152">
        <w:t>, dass in den 7 Monaten der LB auch  das angerechnete Einkommen erziel</w:t>
      </w:r>
      <w:r w:rsidR="005B4D9D" w:rsidRPr="00993152">
        <w:t>en wird</w:t>
      </w:r>
      <w:r w:rsidRPr="00993152">
        <w:t>.</w:t>
      </w:r>
    </w:p>
    <w:p w:rsidR="00373E18" w:rsidRPr="00993152" w:rsidRDefault="00373E18" w:rsidP="003722ED">
      <w:pPr>
        <w:ind w:left="142"/>
        <w:jc w:val="both"/>
      </w:pPr>
    </w:p>
    <w:p w:rsidR="00373E18" w:rsidRPr="00993152" w:rsidRDefault="00373E18" w:rsidP="003722ED">
      <w:pPr>
        <w:ind w:left="142"/>
        <w:jc w:val="both"/>
      </w:pPr>
      <w:r w:rsidRPr="00993152">
        <w:t xml:space="preserve">Bei </w:t>
      </w:r>
      <w:r w:rsidRPr="00993152">
        <w:rPr>
          <w:b/>
        </w:rPr>
        <w:t>Bekleidung</w:t>
      </w:r>
      <w:r w:rsidRPr="00993152">
        <w:t xml:space="preserve">serstausstattungen wird wohl regelmäßig ein </w:t>
      </w:r>
      <w:r w:rsidRPr="00993152">
        <w:rPr>
          <w:b/>
        </w:rPr>
        <w:t>geringerer Multiplikator</w:t>
      </w:r>
      <w:r w:rsidRPr="00993152">
        <w:t xml:space="preserve"> in Frage kommen, da die Erst- oder Grundausstattung an Kleidung so bemessen sein soll, das der LB die Kleidung in einer Woche mehrmals wechseln kann.</w:t>
      </w:r>
    </w:p>
    <w:p w:rsidR="00373E18" w:rsidRPr="00993152" w:rsidRDefault="00373E18" w:rsidP="003722ED">
      <w:pPr>
        <w:ind w:left="142"/>
        <w:jc w:val="both"/>
      </w:pPr>
    </w:p>
    <w:p w:rsidR="00373E18" w:rsidRPr="00993152" w:rsidRDefault="00373E18" w:rsidP="003722ED">
      <w:pPr>
        <w:ind w:left="142"/>
        <w:jc w:val="both"/>
      </w:pPr>
      <w:r w:rsidRPr="00993152">
        <w:t xml:space="preserve">Bei Erstausstattungen für Schwangerschaft und Geburt ist insbesondere zu berücksichtigen, ob zum Zeitpunkt über die Entscheidung des Antrages bereits </w:t>
      </w:r>
      <w:r w:rsidRPr="00993152">
        <w:rPr>
          <w:b/>
        </w:rPr>
        <w:t xml:space="preserve"> der Bedarf </w:t>
      </w:r>
      <w:r w:rsidR="005B4D9D" w:rsidRPr="00993152">
        <w:rPr>
          <w:b/>
        </w:rPr>
        <w:t>aktuell</w:t>
      </w:r>
      <w:r w:rsidRPr="00993152">
        <w:rPr>
          <w:b/>
        </w:rPr>
        <w:t xml:space="preserve"> besteht</w:t>
      </w:r>
      <w:r w:rsidRPr="00993152">
        <w:t xml:space="preserve"> (Schwangerschaft schon weit fortgeschritten, Geburtstermin  steht in Kürze bevor).  </w:t>
      </w:r>
    </w:p>
    <w:p w:rsidR="00373E18" w:rsidRPr="00993152" w:rsidRDefault="00373E18" w:rsidP="003722ED">
      <w:pPr>
        <w:ind w:left="142"/>
        <w:jc w:val="both"/>
      </w:pPr>
      <w:r w:rsidRPr="00993152">
        <w:t>In solchen Fällen ist auch ein Multiplikator von lediglich 1 Monat gerechtfertigt</w:t>
      </w:r>
      <w:r w:rsidR="005B4D9D" w:rsidRPr="00993152">
        <w:t xml:space="preserve"> (ins besonders bei Babyerstausstattung </w:t>
      </w:r>
      <w:r w:rsidR="004B418F" w:rsidRPr="00993152">
        <w:t>für</w:t>
      </w:r>
      <w:r w:rsidR="005B4D9D" w:rsidRPr="00993152">
        <w:t xml:space="preserve"> Kleidung)</w:t>
      </w:r>
      <w:r w:rsidRPr="00993152">
        <w:t xml:space="preserve">. </w:t>
      </w:r>
    </w:p>
    <w:p w:rsidR="005B4D9D" w:rsidRPr="00993152" w:rsidRDefault="005B4D9D" w:rsidP="003722ED">
      <w:pPr>
        <w:ind w:left="142"/>
        <w:jc w:val="both"/>
      </w:pPr>
    </w:p>
    <w:p w:rsidR="005B4D9D" w:rsidRPr="00993152" w:rsidRDefault="005B4D9D" w:rsidP="003722ED">
      <w:pPr>
        <w:ind w:left="142"/>
        <w:jc w:val="both"/>
      </w:pPr>
      <w:r w:rsidRPr="00993152">
        <w:t xml:space="preserve">Im Jobcenter Passau Land werden zur Berechnung der Hilfebedürftigkeit die Leistungen nach § 24 Abs. 3 Satz 1 Nr. 1 und 2 SGB II </w:t>
      </w:r>
      <w:r w:rsidRPr="00993152">
        <w:rPr>
          <w:b/>
        </w:rPr>
        <w:t>grundsätzlich pauschaliert</w:t>
      </w:r>
      <w:r w:rsidR="00EF1AB4" w:rsidRPr="00993152">
        <w:rPr>
          <w:b/>
        </w:rPr>
        <w:t xml:space="preserve"> und als Geldleistung</w:t>
      </w:r>
      <w:r w:rsidR="00EF1AB4" w:rsidRPr="00993152">
        <w:t xml:space="preserve"> erbracht</w:t>
      </w:r>
      <w:r w:rsidRPr="00993152">
        <w:t>.</w:t>
      </w:r>
      <w:r w:rsidR="00EF1AB4" w:rsidRPr="00993152">
        <w:t xml:space="preserve"> Unter den Voraussetzungen de</w:t>
      </w:r>
      <w:r w:rsidR="003B2D98" w:rsidRPr="00993152">
        <w:t>s</w:t>
      </w:r>
      <w:r w:rsidR="00EF1AB4" w:rsidRPr="00993152">
        <w:t xml:space="preserve"> § 24 Abs. 2 SGB II ist auch die Ausstellung eines Gutscheines möglich </w:t>
      </w:r>
      <w:r w:rsidR="00EF1AB4" w:rsidRPr="00993152">
        <w:rPr>
          <w:i/>
          <w:sz w:val="20"/>
          <w:szCs w:val="20"/>
        </w:rPr>
        <w:t>(TB § 24 SGB II -30).</w:t>
      </w:r>
      <w:r w:rsidR="00EF1AB4" w:rsidRPr="00993152">
        <w:t xml:space="preserve">  </w:t>
      </w:r>
    </w:p>
    <w:p w:rsidR="005B4D9D" w:rsidRPr="00993152" w:rsidRDefault="005B4D9D" w:rsidP="003722ED">
      <w:pPr>
        <w:ind w:left="142"/>
        <w:jc w:val="both"/>
      </w:pPr>
      <w:r w:rsidRPr="00993152">
        <w:t>Die angesetzten Euro-Beträge beruhen auf nachvollziehbaren Erfahrungswerten (vgl. BSG 20.08.2009 –B 14 AS 45/08 R-) und sind so bemessen, dass es den LB möglich ist</w:t>
      </w:r>
      <w:r w:rsidR="004B418F" w:rsidRPr="00993152">
        <w:t>,</w:t>
      </w:r>
      <w:r w:rsidRPr="00993152">
        <w:t xml:space="preserve"> die beantragten Gegenstände im unterem Preissegment zu erwerben.</w:t>
      </w:r>
    </w:p>
    <w:p w:rsidR="005B4D9D" w:rsidRPr="00993152" w:rsidRDefault="00745B0A" w:rsidP="003722ED">
      <w:pPr>
        <w:ind w:left="142"/>
        <w:jc w:val="both"/>
      </w:pPr>
      <w:r w:rsidRPr="00993152">
        <w:t>Es kann auch auf gut erhaltene Gebrauchtmöbel verwiesen werden, sollten ausnahmsweise für die veranschlagten Beträge</w:t>
      </w:r>
      <w:r w:rsidR="004B418F" w:rsidRPr="00993152">
        <w:t xml:space="preserve"> </w:t>
      </w:r>
      <w:r w:rsidRPr="00993152">
        <w:t>keine neuen Möbel gekauft werden können.</w:t>
      </w:r>
      <w:r w:rsidR="005B4D9D" w:rsidRPr="00993152">
        <w:t xml:space="preserve"> </w:t>
      </w:r>
    </w:p>
    <w:p w:rsidR="00405960" w:rsidRPr="007A6096" w:rsidRDefault="00B95A41" w:rsidP="00B95A41">
      <w:pPr>
        <w:pStyle w:val="berschrift1"/>
        <w:numPr>
          <w:ilvl w:val="0"/>
          <w:numId w:val="0"/>
        </w:numPr>
        <w:ind w:left="567" w:hanging="425"/>
        <w:rPr>
          <w:sz w:val="24"/>
          <w:szCs w:val="24"/>
        </w:rPr>
      </w:pPr>
      <w:r w:rsidRPr="007A6096">
        <w:rPr>
          <w:sz w:val="24"/>
          <w:szCs w:val="24"/>
        </w:rPr>
        <w:t>2.</w:t>
      </w:r>
      <w:r w:rsidR="006230FF" w:rsidRPr="007A6096">
        <w:rPr>
          <w:sz w:val="24"/>
          <w:szCs w:val="24"/>
        </w:rPr>
        <w:t xml:space="preserve"> </w:t>
      </w:r>
      <w:r w:rsidRPr="007A6096">
        <w:rPr>
          <w:sz w:val="24"/>
          <w:szCs w:val="24"/>
        </w:rPr>
        <w:t xml:space="preserve"> </w:t>
      </w:r>
      <w:r w:rsidR="00CD2371" w:rsidRPr="007A6096">
        <w:rPr>
          <w:sz w:val="24"/>
          <w:szCs w:val="24"/>
        </w:rPr>
        <w:t xml:space="preserve">Erstausstattungen für die Wohnung einschließlich Haushaltsgeräten </w:t>
      </w:r>
      <w:r w:rsidRPr="007A6096">
        <w:rPr>
          <w:sz w:val="24"/>
          <w:szCs w:val="24"/>
        </w:rPr>
        <w:t xml:space="preserve">  </w:t>
      </w:r>
    </w:p>
    <w:p w:rsidR="00CD2371" w:rsidRPr="007A6096" w:rsidRDefault="00B95A41" w:rsidP="00B95A41">
      <w:pPr>
        <w:pStyle w:val="berschrift1"/>
        <w:numPr>
          <w:ilvl w:val="0"/>
          <w:numId w:val="0"/>
        </w:numPr>
        <w:ind w:left="567" w:hanging="425"/>
        <w:rPr>
          <w:sz w:val="24"/>
          <w:szCs w:val="24"/>
        </w:rPr>
      </w:pPr>
      <w:r w:rsidRPr="007A6096">
        <w:rPr>
          <w:sz w:val="24"/>
          <w:szCs w:val="24"/>
        </w:rPr>
        <w:t xml:space="preserve">  </w:t>
      </w:r>
      <w:r w:rsidR="006230FF" w:rsidRPr="007A6096">
        <w:rPr>
          <w:sz w:val="24"/>
          <w:szCs w:val="24"/>
        </w:rPr>
        <w:t xml:space="preserve">   </w:t>
      </w:r>
      <w:r w:rsidR="00CD2371" w:rsidRPr="007A6096">
        <w:rPr>
          <w:sz w:val="24"/>
          <w:szCs w:val="24"/>
        </w:rPr>
        <w:t xml:space="preserve">(§ 24 Abs. 3 Satz 1 Nr. 1 SGB II) </w:t>
      </w:r>
    </w:p>
    <w:p w:rsidR="003722ED" w:rsidRDefault="003722ED" w:rsidP="003722ED">
      <w:pPr>
        <w:ind w:left="142"/>
        <w:jc w:val="both"/>
      </w:pPr>
      <w:r w:rsidRPr="00993152">
        <w:t xml:space="preserve">Der Begriff Erstausstattung ist nicht zu eng auszulegen. Eine Erstausstattung </w:t>
      </w:r>
      <w:r w:rsidR="00F14510" w:rsidRPr="00993152">
        <w:t>kommt</w:t>
      </w:r>
      <w:r w:rsidRPr="00993152">
        <w:t xml:space="preserve"> nicht nur bei Erstbezug einer Unterkunft, sondern  auch durch einen neuen Bedarf aufgrund außergewöhnlicher Umstände wie z.B. nach einem Wohnungsbrand oder nach einer längeren Haft (BT-Dr. 15/1514, 60) in Betracht.</w:t>
      </w:r>
    </w:p>
    <w:p w:rsidR="00E5033E" w:rsidRDefault="00E5033E" w:rsidP="003722ED">
      <w:pPr>
        <w:ind w:left="142"/>
        <w:jc w:val="both"/>
      </w:pPr>
    </w:p>
    <w:p w:rsidR="00E5033E" w:rsidRPr="00E01D59" w:rsidRDefault="00E5033E" w:rsidP="00E5033E">
      <w:pPr>
        <w:ind w:left="142"/>
        <w:jc w:val="both"/>
        <w:rPr>
          <w:rFonts w:cs="Arial"/>
        </w:rPr>
      </w:pPr>
      <w:r w:rsidRPr="00E01D59">
        <w:rPr>
          <w:rFonts w:cs="Arial"/>
        </w:rPr>
        <w:t xml:space="preserve">Außergewöhnliche Umstände bzw. ein besonderes Ereignis können dann nicht anerkannt werden, wenn der Bedarf infolge des allgemein üblichen Abnutzungs- und Verschleißprozesses nach und nach entstanden ist, auch wenn hierbei personenbezogene Faktoren (z.B. Suchterkrankung, Rauschzustand) mitgewirkt haben. Erforderlich sind vielmehr "von außen" einwirkende Umstände bzw. Ereignisse. Diese müssen, soweit sie nicht mit Veränderungen der Wohnung bzw. der Wohnsituation einhergehen, regelmäßig geeignet sein, den plötzlichen "Untergang" bzw. die Unbrauchbarkeit der Wohnungsausstattung unabhängig von sonstigen allgemeinen Gründen zu bewirken </w:t>
      </w:r>
    </w:p>
    <w:p w:rsidR="00E5033E" w:rsidRDefault="00E5033E" w:rsidP="00E5033E">
      <w:pPr>
        <w:ind w:left="142"/>
        <w:jc w:val="both"/>
        <w:rPr>
          <w:rFonts w:cs="Arial"/>
          <w:bCs/>
        </w:rPr>
      </w:pPr>
      <w:r w:rsidRPr="00E01D59">
        <w:rPr>
          <w:rFonts w:cs="Arial"/>
        </w:rPr>
        <w:t xml:space="preserve">(BSG </w:t>
      </w:r>
      <w:r w:rsidRPr="00E01D59">
        <w:rPr>
          <w:rFonts w:cs="Arial"/>
          <w:b/>
          <w:bCs/>
        </w:rPr>
        <w:t xml:space="preserve"> </w:t>
      </w:r>
      <w:r w:rsidRPr="00E01D59">
        <w:rPr>
          <w:rFonts w:cs="Arial"/>
          <w:bCs/>
        </w:rPr>
        <w:t>06.08.2014 - B 4 AS 57/13 R-).</w:t>
      </w:r>
    </w:p>
    <w:p w:rsidR="009047AD" w:rsidRDefault="009047AD" w:rsidP="00E5033E">
      <w:pPr>
        <w:ind w:left="142"/>
        <w:jc w:val="both"/>
        <w:rPr>
          <w:rFonts w:cs="Arial"/>
          <w:bCs/>
        </w:rPr>
      </w:pPr>
    </w:p>
    <w:p w:rsidR="009047AD" w:rsidRPr="00E01D59" w:rsidRDefault="009047AD" w:rsidP="00E5033E">
      <w:pPr>
        <w:ind w:left="142"/>
        <w:jc w:val="both"/>
        <w:rPr>
          <w:rFonts w:cs="Arial"/>
        </w:rPr>
      </w:pPr>
    </w:p>
    <w:p w:rsidR="00E5033E" w:rsidRPr="00E01D59" w:rsidRDefault="00E5033E" w:rsidP="003722ED">
      <w:pPr>
        <w:ind w:left="142"/>
        <w:jc w:val="both"/>
      </w:pPr>
    </w:p>
    <w:p w:rsidR="003722ED" w:rsidRPr="00993152" w:rsidRDefault="00E5033E" w:rsidP="003722ED">
      <w:pPr>
        <w:ind w:left="142"/>
        <w:jc w:val="both"/>
      </w:pPr>
      <w:r>
        <w:lastRenderedPageBreak/>
        <w:t>D</w:t>
      </w:r>
      <w:r w:rsidR="003722ED" w:rsidRPr="00993152">
        <w:t xml:space="preserve">er Bezug einer neuen Unterkunft nach Trennung oder Scheidung, </w:t>
      </w:r>
      <w:r w:rsidR="006F6770" w:rsidRPr="00993152">
        <w:t xml:space="preserve">Neugründung eines Haushalts bei Heirat, </w:t>
      </w:r>
      <w:r w:rsidR="003722ED" w:rsidRPr="00993152">
        <w:t>Zuzug aus dem Ausland oder nach einem Frauenhausaufenthalt können</w:t>
      </w:r>
      <w:r>
        <w:t xml:space="preserve"> aber</w:t>
      </w:r>
      <w:r w:rsidR="003722ED" w:rsidRPr="00993152">
        <w:t xml:space="preserve"> einen Anspruch auf Erstausstattung begründen.</w:t>
      </w:r>
    </w:p>
    <w:p w:rsidR="000427C0" w:rsidRPr="00993152" w:rsidRDefault="000427C0" w:rsidP="003722ED">
      <w:pPr>
        <w:ind w:left="142"/>
        <w:jc w:val="both"/>
      </w:pPr>
    </w:p>
    <w:p w:rsidR="000427C0" w:rsidRPr="00993152" w:rsidRDefault="000427C0" w:rsidP="008F0678">
      <w:pPr>
        <w:ind w:left="142"/>
        <w:jc w:val="both"/>
        <w:rPr>
          <w:rFonts w:cs="Arial"/>
        </w:rPr>
      </w:pPr>
      <w:r w:rsidRPr="00993152">
        <w:rPr>
          <w:rFonts w:cs="Arial"/>
        </w:rPr>
        <w:t>Abzugrenzen ist  eine Erstausstattung  von einer Ersatzbeschaffung, die aus der Regelleistung zu decken ist. Damit kann auch beim Umzug von einer Mietwohnung in eine andere ein Erstausstattungsbedarf anfallen, wenn etwa ein Haushaltsgerät oder Möbelstück bisher in der ansonsten eingerichteten Wohnung nicht vorhanden war</w:t>
      </w:r>
    </w:p>
    <w:p w:rsidR="000427C0" w:rsidRPr="00993152" w:rsidRDefault="000427C0" w:rsidP="008F0678">
      <w:pPr>
        <w:ind w:left="142"/>
        <w:jc w:val="both"/>
        <w:rPr>
          <w:rFonts w:cs="Arial"/>
        </w:rPr>
      </w:pPr>
      <w:r w:rsidRPr="00993152">
        <w:rPr>
          <w:rFonts w:cs="Arial"/>
        </w:rPr>
        <w:t>(Bayer. LSG  28.08.2006 – L 7 B 481/06 AS ER-).</w:t>
      </w:r>
    </w:p>
    <w:p w:rsidR="00EB08F7" w:rsidRPr="00993152" w:rsidRDefault="00EB08F7" w:rsidP="008F0678">
      <w:pPr>
        <w:ind w:left="142"/>
        <w:jc w:val="both"/>
        <w:rPr>
          <w:rFonts w:cs="Arial"/>
        </w:rPr>
      </w:pPr>
    </w:p>
    <w:p w:rsidR="003722ED" w:rsidRDefault="00EB08F7" w:rsidP="008F0678">
      <w:pPr>
        <w:ind w:left="142"/>
        <w:jc w:val="both"/>
      </w:pPr>
      <w:r w:rsidRPr="00993152">
        <w:rPr>
          <w:rFonts w:cs="Arial"/>
        </w:rPr>
        <w:t xml:space="preserve">Ein </w:t>
      </w:r>
      <w:r w:rsidRPr="00993152">
        <w:rPr>
          <w:rFonts w:cs="Arial"/>
          <w:b/>
        </w:rPr>
        <w:t>Fernsehgerät</w:t>
      </w:r>
      <w:r w:rsidRPr="00993152">
        <w:rPr>
          <w:rFonts w:cs="Arial"/>
        </w:rPr>
        <w:t xml:space="preserve"> ist nach der Rechtsprechung des BSG weder ein Einrichtungsgegenstand noch ein Haushaltsgerät, so dass hierfür </w:t>
      </w:r>
      <w:r w:rsidRPr="00993152">
        <w:rPr>
          <w:rFonts w:cs="Arial"/>
          <w:b/>
        </w:rPr>
        <w:t>keine Beihilfe</w:t>
      </w:r>
      <w:r w:rsidRPr="00993152">
        <w:rPr>
          <w:rFonts w:cs="Arial"/>
        </w:rPr>
        <w:t xml:space="preserve"> gewährt wird (</w:t>
      </w:r>
      <w:r w:rsidRPr="00993152">
        <w:rPr>
          <w:rFonts w:eastAsia="Calibri" w:cs="Arial"/>
        </w:rPr>
        <w:t>BSG  24.02.2011 - B 14 AS 75/10 R -</w:t>
      </w:r>
      <w:r w:rsidRPr="00993152">
        <w:rPr>
          <w:rFonts w:cs="Arial"/>
        </w:rPr>
        <w:t>).</w:t>
      </w:r>
      <w:r w:rsidRPr="00993152">
        <w:rPr>
          <w:rFonts w:eastAsia="Calibri" w:cs="Arial"/>
        </w:rPr>
        <w:t xml:space="preserve">  </w:t>
      </w:r>
      <w:r w:rsidR="003722ED" w:rsidRPr="00993152">
        <w:t xml:space="preserve">  </w:t>
      </w:r>
    </w:p>
    <w:p w:rsidR="00E01D59" w:rsidRDefault="00E01D59" w:rsidP="008F0678">
      <w:pPr>
        <w:ind w:left="142"/>
        <w:jc w:val="both"/>
      </w:pPr>
    </w:p>
    <w:p w:rsidR="00E01D59" w:rsidRPr="007A6096" w:rsidRDefault="00E01D59" w:rsidP="00E01D59">
      <w:pPr>
        <w:ind w:left="142"/>
        <w:jc w:val="both"/>
      </w:pPr>
      <w:r w:rsidRPr="007A6096">
        <w:t xml:space="preserve">Nach § 36 Satz 2 SGB II ist der kommunale Träger </w:t>
      </w:r>
      <w:r w:rsidRPr="007A6096">
        <w:rPr>
          <w:b/>
        </w:rPr>
        <w:t>örtlich zuständig</w:t>
      </w:r>
      <w:r w:rsidRPr="007A6096">
        <w:t xml:space="preserve">, in dessen Gebiet der erwerbsfähige Leistungsberechtigte seinen gewöhnlichen Aufenthalt hat. Dabei ist der Zeitpunkt der Antragsstellung maßgeblich (BSG Entscheidung vom 23.05.2012, Az. B 14 AS 156/11 R). </w:t>
      </w:r>
    </w:p>
    <w:p w:rsidR="00E01D59" w:rsidRPr="007A6096" w:rsidRDefault="00E01D59" w:rsidP="00E01D59">
      <w:pPr>
        <w:ind w:left="142"/>
        <w:jc w:val="both"/>
      </w:pPr>
      <w:r w:rsidRPr="007A6096">
        <w:t xml:space="preserve">Im Falle eines Umzuges ist folglich darauf abzustellen, wann der Leistungsberechtigte den Antrag auf Leistungen nach § 24 Abs. 3 Satz 1 Nr. 1 SGB II stellt. </w:t>
      </w:r>
      <w:r w:rsidRPr="00CE17AD">
        <w:rPr>
          <w:u w:val="single"/>
        </w:rPr>
        <w:t>Wird der Antrag noch am Wegzugsort gestellt, ist der kommunale Träger des Wegzugsortes für die Gewährung der Leistung zuständig.</w:t>
      </w:r>
      <w:r w:rsidRPr="007A6096">
        <w:t xml:space="preserve"> Dafür spricht, dass dem Leistungsberechtigten nicht zugemutet werden kann, in eine „leere“, d. h. nicht oder unzureichend ausgestattete Wohnung zu ziehen, bevor er entsprechende Leistungen beantragen kann.</w:t>
      </w:r>
    </w:p>
    <w:p w:rsidR="00E01D59" w:rsidRPr="007A6096" w:rsidRDefault="00E01D59" w:rsidP="00E01D59">
      <w:pPr>
        <w:ind w:left="142"/>
        <w:jc w:val="both"/>
      </w:pPr>
      <w:r w:rsidRPr="007A6096">
        <w:t>Diese Regelung gilt auch für anerkannte Asylbewerber oder Flüchtlinge, die Leistungen nach dem SGB II beziehen und noch in einer Erstaufnahmeeinrichtung oder einer Unterkunft (Gemeinschaftsunterkunft oder dezentrale Unterkunft) zur Unterbringung von Asylbewerbern leben. Soll konkret ein Umzug in eine Wohnung erfolgen und beantragt der Leistungsberechtigte Leistungen zur Ausstattung der Wohnung zu einem Zeitpunkt, in dem er sich noch in einer Unterkunft zur Unterbringung von Asylbewerbern (Erstaufnahmeeinrichtung, Gemeinschaftsunterkunft, dezentrale Unterkunft) aufhält, ist das Jobcenter zuständig, in dessen Bezirk diese Unterkunft liegt (vgl. Schreiben des StMAS Bayern vom 03.07.2015, Az. I 3/6074.04-1/315).</w:t>
      </w:r>
    </w:p>
    <w:p w:rsidR="00C810D5" w:rsidRPr="00993152" w:rsidRDefault="00C810D5" w:rsidP="008F0678">
      <w:pPr>
        <w:ind w:left="142"/>
        <w:jc w:val="both"/>
      </w:pPr>
    </w:p>
    <w:p w:rsidR="0061595C" w:rsidRPr="00993152" w:rsidRDefault="0061595C" w:rsidP="008F0678">
      <w:pPr>
        <w:ind w:left="142"/>
        <w:jc w:val="both"/>
      </w:pPr>
      <w:r w:rsidRPr="00993152">
        <w:t>Die Pauschalbeträge im Jobcenter Passau Land für Wohnungserstaustattung und Haushaltsgeräten:</w:t>
      </w:r>
    </w:p>
    <w:p w:rsidR="0061595C" w:rsidRPr="00993152" w:rsidRDefault="0061595C" w:rsidP="0061595C">
      <w:pPr>
        <w:pBdr>
          <w:top w:val="single" w:sz="4" w:space="1" w:color="auto"/>
          <w:left w:val="single" w:sz="4" w:space="4" w:color="auto"/>
          <w:bottom w:val="single" w:sz="4" w:space="1" w:color="auto"/>
          <w:right w:val="single" w:sz="4" w:space="18" w:color="auto"/>
        </w:pBdr>
        <w:shd w:val="clear" w:color="auto" w:fill="BFBFBF" w:themeFill="background1" w:themeFillShade="BF"/>
        <w:ind w:left="142"/>
        <w:jc w:val="both"/>
        <w:rPr>
          <w:b/>
          <w:sz w:val="24"/>
          <w:szCs w:val="24"/>
        </w:rPr>
      </w:pPr>
      <w:r w:rsidRPr="00993152">
        <w:rPr>
          <w:b/>
          <w:sz w:val="24"/>
          <w:szCs w:val="24"/>
        </w:rPr>
        <w:t>Küchenmöbel</w:t>
      </w:r>
    </w:p>
    <w:tbl>
      <w:tblPr>
        <w:tblW w:w="9512" w:type="dxa"/>
        <w:tblInd w:w="55" w:type="dxa"/>
        <w:tblCellMar>
          <w:left w:w="70" w:type="dxa"/>
          <w:right w:w="70" w:type="dxa"/>
        </w:tblCellMar>
        <w:tblLook w:val="04A0" w:firstRow="1" w:lastRow="0" w:firstColumn="1" w:lastColumn="0" w:noHBand="0" w:noVBand="1"/>
      </w:tblPr>
      <w:tblGrid>
        <w:gridCol w:w="7680"/>
        <w:gridCol w:w="280"/>
        <w:gridCol w:w="1552"/>
      </w:tblGrid>
      <w:tr w:rsidR="00993152" w:rsidRPr="00993152" w:rsidTr="0061595C">
        <w:trPr>
          <w:trHeight w:val="28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Küchenunterschrank (gebraucht)</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80,00 €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Küchenhängeschrank (gebracht)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80,00 €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Küchentisch mit 4 Stühlen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80,00 €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7A6096" w:rsidRDefault="0061595C" w:rsidP="009606D4">
            <w:pPr>
              <w:jc w:val="center"/>
              <w:rPr>
                <w:rFonts w:eastAsia="Times New Roman" w:cs="Arial"/>
                <w:sz w:val="20"/>
                <w:szCs w:val="20"/>
                <w:lang w:eastAsia="de-DE"/>
              </w:rPr>
            </w:pPr>
            <w:r w:rsidRPr="007A6096">
              <w:rPr>
                <w:rFonts w:eastAsia="Times New Roman" w:cs="Arial"/>
                <w:sz w:val="20"/>
                <w:szCs w:val="20"/>
                <w:lang w:eastAsia="de-DE"/>
              </w:rPr>
              <w:t>E-Herd Küche (</w:t>
            </w:r>
            <w:r w:rsidR="009606D4" w:rsidRPr="007A6096">
              <w:rPr>
                <w:rFonts w:eastAsia="Times New Roman" w:cs="Arial"/>
                <w:sz w:val="20"/>
                <w:szCs w:val="20"/>
                <w:lang w:eastAsia="de-DE"/>
              </w:rPr>
              <w:t>gebraucht</w:t>
            </w:r>
            <w:r w:rsidRPr="007A6096">
              <w:rPr>
                <w:rFonts w:eastAsia="Times New Roman" w:cs="Arial"/>
                <w:sz w:val="20"/>
                <w:szCs w:val="20"/>
                <w:lang w:eastAsia="de-DE"/>
              </w:rPr>
              <w: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200,00 €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7A6096" w:rsidRDefault="0061595C" w:rsidP="009606D4">
            <w:pPr>
              <w:jc w:val="center"/>
              <w:rPr>
                <w:rFonts w:eastAsia="Times New Roman" w:cs="Arial"/>
                <w:sz w:val="20"/>
                <w:szCs w:val="20"/>
                <w:lang w:eastAsia="de-DE"/>
              </w:rPr>
            </w:pPr>
            <w:r w:rsidRPr="007A6096">
              <w:rPr>
                <w:rFonts w:eastAsia="Times New Roman" w:cs="Arial"/>
                <w:sz w:val="20"/>
                <w:szCs w:val="20"/>
                <w:lang w:eastAsia="de-DE"/>
              </w:rPr>
              <w:t>Kühlschrank (</w:t>
            </w:r>
            <w:r w:rsidR="009606D4" w:rsidRPr="007A6096">
              <w:rPr>
                <w:rFonts w:eastAsia="Times New Roman" w:cs="Arial"/>
                <w:sz w:val="20"/>
                <w:szCs w:val="20"/>
                <w:lang w:eastAsia="de-DE"/>
              </w:rPr>
              <w:t>gebraucht</w:t>
            </w:r>
            <w:r w:rsidRPr="007A6096">
              <w:rPr>
                <w:rFonts w:eastAsia="Times New Roman" w:cs="Arial"/>
                <w:sz w:val="20"/>
                <w:szCs w:val="20"/>
                <w:lang w:eastAsia="de-DE"/>
              </w:rPr>
              <w: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150,00 €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Spüle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80,00 €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Küchenlampe</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Küchenvorhang und Stange für 1 Fenster</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20,00 € </w:t>
            </w:r>
          </w:p>
        </w:tc>
      </w:tr>
      <w:tr w:rsidR="00993152" w:rsidRPr="00993152" w:rsidTr="0061595C">
        <w:trPr>
          <w:trHeight w:val="315"/>
        </w:trPr>
        <w:tc>
          <w:tcPr>
            <w:tcW w:w="7680" w:type="dxa"/>
            <w:tcBorders>
              <w:top w:val="nil"/>
              <w:left w:val="single" w:sz="4" w:space="0" w:color="auto"/>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4"/>
                <w:szCs w:val="24"/>
                <w:lang w:eastAsia="de-DE"/>
              </w:rPr>
            </w:pPr>
            <w:r w:rsidRPr="00993152">
              <w:rPr>
                <w:rFonts w:eastAsia="Times New Roman" w:cs="Arial"/>
                <w:b/>
                <w:bCs/>
                <w:sz w:val="24"/>
                <w:szCs w:val="24"/>
                <w:lang w:eastAsia="de-DE"/>
              </w:rPr>
              <w:t xml:space="preserve"> Wohnzimmer</w:t>
            </w:r>
          </w:p>
        </w:tc>
        <w:tc>
          <w:tcPr>
            <w:tcW w:w="280"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Wohnzimmerschrank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Wohnzimmercouchgarnitur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150,00 €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Wohnzimmertisch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30,00 €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Wohnzimmerlampe</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Wohnzimmervorhang und Stange für 2 Fenster</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40,00 € </w:t>
            </w:r>
          </w:p>
        </w:tc>
      </w:tr>
      <w:tr w:rsidR="00993152" w:rsidRPr="00993152" w:rsidTr="0061595C">
        <w:trPr>
          <w:trHeight w:val="315"/>
        </w:trPr>
        <w:tc>
          <w:tcPr>
            <w:tcW w:w="7680" w:type="dxa"/>
            <w:tcBorders>
              <w:top w:val="nil"/>
              <w:left w:val="single" w:sz="4" w:space="0" w:color="auto"/>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4"/>
                <w:szCs w:val="24"/>
                <w:lang w:eastAsia="de-DE"/>
              </w:rPr>
            </w:pPr>
            <w:r w:rsidRPr="00993152">
              <w:rPr>
                <w:rFonts w:eastAsia="Times New Roman" w:cs="Arial"/>
                <w:b/>
                <w:bCs/>
                <w:sz w:val="24"/>
                <w:szCs w:val="24"/>
                <w:lang w:eastAsia="de-DE"/>
              </w:rPr>
              <w:lastRenderedPageBreak/>
              <w:t xml:space="preserve"> Schlafzimmermöbel (2 Personen)</w:t>
            </w:r>
          </w:p>
        </w:tc>
        <w:tc>
          <w:tcPr>
            <w:tcW w:w="280"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4-türiger Elternschlafzimmer-Schrank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Doppelbett mit Lattenrost Elternschlafzimmer (neu)</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250,00 €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Matratzen Elternschlafzimmer (neu)</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200,00 €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Elternschlafzimmerlampe</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Elternschlafzimmervorhang und Stange für 2 Fenster</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40,00 €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r>
      <w:tr w:rsidR="00993152" w:rsidRPr="00993152" w:rsidTr="0061595C">
        <w:trPr>
          <w:trHeight w:val="315"/>
        </w:trPr>
        <w:tc>
          <w:tcPr>
            <w:tcW w:w="7680" w:type="dxa"/>
            <w:tcBorders>
              <w:top w:val="nil"/>
              <w:left w:val="single" w:sz="4" w:space="0" w:color="auto"/>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4"/>
                <w:szCs w:val="24"/>
                <w:lang w:eastAsia="de-DE"/>
              </w:rPr>
            </w:pPr>
            <w:r w:rsidRPr="00993152">
              <w:rPr>
                <w:rFonts w:eastAsia="Times New Roman" w:cs="Arial"/>
                <w:b/>
                <w:bCs/>
                <w:sz w:val="24"/>
                <w:szCs w:val="24"/>
                <w:lang w:eastAsia="de-DE"/>
              </w:rPr>
              <w:t xml:space="preserve"> Schlafzimmermöbel (Alleinstehende)</w:t>
            </w:r>
          </w:p>
        </w:tc>
        <w:tc>
          <w:tcPr>
            <w:tcW w:w="280"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2-türiger Schrank - Schlafzimmer Alleinstehende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60,00 €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Einzelbett mit Lattenrost - Schlafzimmer Alleinstehende (neu)</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Matratze - Schlafzimmer Alleinstehende (neu)</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Schlafzimmerlampe Alleinstehende</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10,00 € </w:t>
            </w:r>
          </w:p>
        </w:tc>
      </w:tr>
      <w:tr w:rsidR="00993152" w:rsidRPr="00993152" w:rsidTr="0061595C">
        <w:trPr>
          <w:trHeight w:val="28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Vorhang und Stange für 2 Fenster - Schlafzimmer Alleinstehende</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40,00 €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b/>
                <w:bCs/>
                <w:sz w:val="20"/>
                <w:szCs w:val="20"/>
                <w:lang w:eastAsia="de-DE"/>
              </w:rPr>
            </w:pP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w:t>
            </w:r>
          </w:p>
        </w:tc>
      </w:tr>
      <w:tr w:rsidR="00993152" w:rsidRPr="00993152" w:rsidTr="0061595C">
        <w:trPr>
          <w:trHeight w:val="315"/>
        </w:trPr>
        <w:tc>
          <w:tcPr>
            <w:tcW w:w="7680" w:type="dxa"/>
            <w:tcBorders>
              <w:top w:val="nil"/>
              <w:left w:val="single" w:sz="4" w:space="0" w:color="auto"/>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4"/>
                <w:szCs w:val="24"/>
                <w:lang w:eastAsia="de-DE"/>
              </w:rPr>
            </w:pPr>
            <w:r w:rsidRPr="00993152">
              <w:rPr>
                <w:rFonts w:eastAsia="Times New Roman" w:cs="Arial"/>
                <w:b/>
                <w:bCs/>
                <w:sz w:val="24"/>
                <w:szCs w:val="24"/>
                <w:lang w:eastAsia="de-DE"/>
              </w:rPr>
              <w:t xml:space="preserve"> Kinderzimmermöbel</w:t>
            </w:r>
          </w:p>
        </w:tc>
        <w:tc>
          <w:tcPr>
            <w:tcW w:w="280"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2-türigen Kinderzimmerschrank (gebraucht)</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60,00 €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B90DE2">
            <w:pPr>
              <w:rPr>
                <w:rFonts w:eastAsia="Times New Roman" w:cs="Arial"/>
                <w:sz w:val="20"/>
                <w:szCs w:val="20"/>
                <w:lang w:eastAsia="de-DE"/>
              </w:rPr>
            </w:pPr>
            <w:r w:rsidRPr="00993152">
              <w:rPr>
                <w:rFonts w:eastAsia="Times New Roman" w:cs="Arial"/>
                <w:sz w:val="20"/>
                <w:szCs w:val="20"/>
                <w:lang w:eastAsia="de-DE"/>
              </w:rPr>
              <w:t>Kinder</w:t>
            </w:r>
            <w:r w:rsidR="00B90DE2" w:rsidRPr="00993152">
              <w:rPr>
                <w:rFonts w:eastAsia="Times New Roman" w:cs="Arial"/>
                <w:sz w:val="20"/>
                <w:szCs w:val="20"/>
                <w:lang w:eastAsia="de-DE"/>
              </w:rPr>
              <w:t>-  bzw. Jugendzimmer</w:t>
            </w:r>
            <w:r w:rsidRPr="00993152">
              <w:rPr>
                <w:rFonts w:eastAsia="Times New Roman" w:cs="Arial"/>
                <w:sz w:val="20"/>
                <w:szCs w:val="20"/>
                <w:lang w:eastAsia="de-DE"/>
              </w:rPr>
              <w:t>einzelbett mit Lattenrost (neu)</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Kinder</w:t>
            </w:r>
            <w:r w:rsidR="0095143A">
              <w:rPr>
                <w:rFonts w:eastAsia="Times New Roman" w:cs="Arial"/>
                <w:sz w:val="20"/>
                <w:szCs w:val="20"/>
                <w:lang w:eastAsia="de-DE"/>
              </w:rPr>
              <w:t>-  bzw. Jugend</w:t>
            </w:r>
            <w:r w:rsidRPr="00993152">
              <w:rPr>
                <w:rFonts w:eastAsia="Times New Roman" w:cs="Arial"/>
                <w:sz w:val="20"/>
                <w:szCs w:val="20"/>
                <w:lang w:eastAsia="de-DE"/>
              </w:rPr>
              <w:t>zimmermatratze (neu)</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Kinderzimmerlampe</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Vorhang und Stange für 1 Fenster - Kinderzimmer</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20,00 € </w:t>
            </w:r>
          </w:p>
        </w:tc>
      </w:tr>
      <w:tr w:rsidR="001D2AF9"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tcPr>
          <w:p w:rsidR="001D2AF9" w:rsidRPr="00993152" w:rsidRDefault="001D2AF9" w:rsidP="0061595C">
            <w:pPr>
              <w:rPr>
                <w:rFonts w:eastAsia="Times New Roman" w:cs="Arial"/>
                <w:sz w:val="20"/>
                <w:szCs w:val="20"/>
                <w:lang w:eastAsia="de-DE"/>
              </w:rPr>
            </w:pPr>
          </w:p>
        </w:tc>
        <w:tc>
          <w:tcPr>
            <w:tcW w:w="280" w:type="dxa"/>
            <w:tcBorders>
              <w:top w:val="nil"/>
              <w:left w:val="nil"/>
              <w:bottom w:val="single" w:sz="4" w:space="0" w:color="auto"/>
              <w:right w:val="single" w:sz="4" w:space="0" w:color="auto"/>
            </w:tcBorders>
            <w:shd w:val="clear" w:color="auto" w:fill="auto"/>
            <w:noWrap/>
            <w:vAlign w:val="bottom"/>
          </w:tcPr>
          <w:p w:rsidR="001D2AF9" w:rsidRPr="00993152" w:rsidRDefault="001D2AF9" w:rsidP="0061595C">
            <w:pPr>
              <w:rPr>
                <w:rFonts w:eastAsia="Times New Roman" w:cs="Arial"/>
                <w:sz w:val="20"/>
                <w:szCs w:val="20"/>
                <w:lang w:eastAsia="de-DE"/>
              </w:rPr>
            </w:pPr>
          </w:p>
        </w:tc>
        <w:tc>
          <w:tcPr>
            <w:tcW w:w="1552" w:type="dxa"/>
            <w:tcBorders>
              <w:top w:val="nil"/>
              <w:left w:val="nil"/>
              <w:bottom w:val="single" w:sz="4" w:space="0" w:color="auto"/>
              <w:right w:val="single" w:sz="4" w:space="0" w:color="auto"/>
            </w:tcBorders>
            <w:shd w:val="clear" w:color="auto" w:fill="auto"/>
            <w:noWrap/>
            <w:vAlign w:val="bottom"/>
          </w:tcPr>
          <w:p w:rsidR="001D2AF9" w:rsidRPr="00993152" w:rsidRDefault="001D2AF9" w:rsidP="0061595C">
            <w:pPr>
              <w:rPr>
                <w:rFonts w:eastAsia="Times New Roman" w:cs="Arial"/>
                <w:sz w:val="20"/>
                <w:szCs w:val="20"/>
                <w:lang w:eastAsia="de-DE"/>
              </w:rPr>
            </w:pPr>
          </w:p>
        </w:tc>
      </w:tr>
      <w:tr w:rsidR="00993152" w:rsidRPr="00993152" w:rsidTr="0061595C">
        <w:trPr>
          <w:trHeight w:val="315"/>
        </w:trPr>
        <w:tc>
          <w:tcPr>
            <w:tcW w:w="7680" w:type="dxa"/>
            <w:tcBorders>
              <w:top w:val="nil"/>
              <w:left w:val="single" w:sz="4" w:space="0" w:color="auto"/>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4"/>
                <w:szCs w:val="24"/>
                <w:lang w:eastAsia="de-DE"/>
              </w:rPr>
            </w:pPr>
            <w:r w:rsidRPr="00993152">
              <w:rPr>
                <w:rFonts w:eastAsia="Times New Roman" w:cs="Arial"/>
                <w:b/>
                <w:bCs/>
                <w:sz w:val="24"/>
                <w:szCs w:val="24"/>
                <w:lang w:eastAsia="de-DE"/>
              </w:rPr>
              <w:t xml:space="preserve"> Bettzeug (pro Person)</w:t>
            </w:r>
          </w:p>
        </w:tc>
        <w:tc>
          <w:tcPr>
            <w:tcW w:w="280"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Oberbett (neu) - Bettzeug </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50,00 €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Kopfkissen (neu) - Bettzeug</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15,00 €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Garn. Bettwäsche - Bettzeug</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30,00 €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9047AD" w:rsidP="0061595C">
            <w:pPr>
              <w:rPr>
                <w:rFonts w:eastAsia="Times New Roman" w:cs="Arial"/>
                <w:sz w:val="20"/>
                <w:szCs w:val="20"/>
                <w:lang w:eastAsia="de-DE"/>
              </w:rPr>
            </w:pPr>
            <w:r w:rsidRPr="00993152">
              <w:rPr>
                <w:rFonts w:eastAsia="Times New Roman" w:cs="Arial"/>
                <w:sz w:val="20"/>
                <w:szCs w:val="20"/>
                <w:lang w:eastAsia="de-DE"/>
              </w:rPr>
              <w:t>Spannbetttücher</w:t>
            </w:r>
            <w:r w:rsidR="0061595C" w:rsidRPr="00993152">
              <w:rPr>
                <w:rFonts w:eastAsia="Times New Roman" w:cs="Arial"/>
                <w:sz w:val="20"/>
                <w:szCs w:val="20"/>
                <w:lang w:eastAsia="de-DE"/>
              </w:rPr>
              <w:t xml:space="preserve"> - Bettzeug</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xml:space="preserve">         10,00 €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b/>
                <w:bCs/>
                <w:sz w:val="20"/>
                <w:szCs w:val="20"/>
                <w:lang w:eastAsia="de-DE"/>
              </w:rPr>
            </w:pP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w:t>
            </w:r>
          </w:p>
        </w:tc>
      </w:tr>
      <w:tr w:rsidR="00993152" w:rsidRPr="00993152" w:rsidTr="0061595C">
        <w:trPr>
          <w:trHeight w:val="315"/>
        </w:trPr>
        <w:tc>
          <w:tcPr>
            <w:tcW w:w="7680" w:type="dxa"/>
            <w:tcBorders>
              <w:top w:val="nil"/>
              <w:left w:val="single" w:sz="4" w:space="0" w:color="auto"/>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4"/>
                <w:szCs w:val="24"/>
                <w:lang w:eastAsia="de-DE"/>
              </w:rPr>
            </w:pPr>
            <w:r w:rsidRPr="00993152">
              <w:rPr>
                <w:rFonts w:eastAsia="Times New Roman" w:cs="Arial"/>
                <w:b/>
                <w:bCs/>
                <w:sz w:val="24"/>
                <w:szCs w:val="24"/>
                <w:lang w:eastAsia="de-DE"/>
              </w:rPr>
              <w:t xml:space="preserve"> Erstausstattung Hausrat *:</w:t>
            </w:r>
          </w:p>
        </w:tc>
        <w:tc>
          <w:tcPr>
            <w:tcW w:w="280"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Erstausstattung Hausrat - Familie *</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xml:space="preserve">       120,00 €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Erstausstattung Hausrat - Ehepaar *</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xml:space="preserve">         90,00 €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Erstausstattung Hausrat - Alleinstehende *</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xml:space="preserve">         60,00 €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Erstausstattung Hausrat - Alleinstehende mit Kind *</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xml:space="preserve">         90,00 € </w:t>
            </w:r>
          </w:p>
        </w:tc>
      </w:tr>
      <w:tr w:rsidR="00993152" w:rsidRPr="00993152" w:rsidTr="0061595C">
        <w:trPr>
          <w:trHeight w:val="285"/>
        </w:trPr>
        <w:tc>
          <w:tcPr>
            <w:tcW w:w="768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61595C" w:rsidRPr="001D2AF9" w:rsidRDefault="0061595C" w:rsidP="0061595C">
            <w:pPr>
              <w:jc w:val="center"/>
              <w:rPr>
                <w:rFonts w:eastAsia="Times New Roman" w:cs="Arial"/>
                <w:sz w:val="18"/>
                <w:szCs w:val="18"/>
                <w:lang w:eastAsia="de-DE"/>
              </w:rPr>
            </w:pPr>
            <w:r w:rsidRPr="001D2AF9">
              <w:rPr>
                <w:rFonts w:eastAsia="Times New Roman" w:cs="Arial"/>
                <w:b/>
                <w:bCs/>
                <w:sz w:val="18"/>
                <w:szCs w:val="18"/>
                <w:lang w:eastAsia="de-DE"/>
              </w:rPr>
              <w:t>* Hausrat</w:t>
            </w:r>
            <w:r w:rsidRPr="001D2AF9">
              <w:rPr>
                <w:rFonts w:eastAsia="Times New Roman" w:cs="Arial"/>
                <w:sz w:val="18"/>
                <w:szCs w:val="18"/>
                <w:lang w:eastAsia="de-DE"/>
              </w:rPr>
              <w:t>: Teller, Gläser, Besteck, Pfanne Töpfe, Schöpflöffel, Kochlöffel, Putzeimer, Bügelbrett, Bügeleisen, usw.</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w:t>
            </w:r>
          </w:p>
        </w:tc>
      </w:tr>
      <w:tr w:rsidR="00993152" w:rsidRPr="00993152" w:rsidTr="0061595C">
        <w:trPr>
          <w:trHeight w:val="285"/>
        </w:trPr>
        <w:tc>
          <w:tcPr>
            <w:tcW w:w="7680" w:type="dxa"/>
            <w:vMerge/>
            <w:tcBorders>
              <w:top w:val="nil"/>
              <w:left w:val="single" w:sz="4" w:space="0" w:color="auto"/>
              <w:bottom w:val="single" w:sz="4" w:space="0" w:color="000000"/>
              <w:right w:val="single" w:sz="4" w:space="0" w:color="auto"/>
            </w:tcBorders>
            <w:vAlign w:val="center"/>
            <w:hideMark/>
          </w:tcPr>
          <w:p w:rsidR="0061595C" w:rsidRPr="00993152" w:rsidRDefault="0061595C" w:rsidP="0061595C">
            <w:pPr>
              <w:rPr>
                <w:rFonts w:eastAsia="Times New Roman" w:cs="Arial"/>
                <w:sz w:val="20"/>
                <w:szCs w:val="20"/>
                <w:lang w:eastAsia="de-DE"/>
              </w:rPr>
            </w:pP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w:t>
            </w:r>
          </w:p>
        </w:tc>
      </w:tr>
      <w:tr w:rsidR="00993152" w:rsidRPr="00993152" w:rsidTr="001D2AF9">
        <w:trPr>
          <w:trHeight w:val="116"/>
        </w:trPr>
        <w:tc>
          <w:tcPr>
            <w:tcW w:w="7680" w:type="dxa"/>
            <w:vMerge/>
            <w:tcBorders>
              <w:top w:val="nil"/>
              <w:left w:val="single" w:sz="4" w:space="0" w:color="auto"/>
              <w:bottom w:val="single" w:sz="4" w:space="0" w:color="000000"/>
              <w:right w:val="single" w:sz="4" w:space="0" w:color="auto"/>
            </w:tcBorders>
            <w:vAlign w:val="center"/>
            <w:hideMark/>
          </w:tcPr>
          <w:p w:rsidR="0061595C" w:rsidRPr="00993152" w:rsidRDefault="0061595C" w:rsidP="0061595C">
            <w:pPr>
              <w:rPr>
                <w:rFonts w:eastAsia="Times New Roman" w:cs="Arial"/>
                <w:sz w:val="20"/>
                <w:szCs w:val="20"/>
                <w:lang w:eastAsia="de-DE"/>
              </w:rPr>
            </w:pP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w:t>
            </w:r>
          </w:p>
        </w:tc>
      </w:tr>
      <w:tr w:rsidR="00993152" w:rsidRPr="00993152" w:rsidTr="00DD6486">
        <w:trPr>
          <w:trHeight w:val="315"/>
        </w:trPr>
        <w:tc>
          <w:tcPr>
            <w:tcW w:w="7680" w:type="dxa"/>
            <w:tcBorders>
              <w:top w:val="nil"/>
              <w:left w:val="single" w:sz="4" w:space="0" w:color="auto"/>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b/>
                <w:bCs/>
                <w:sz w:val="24"/>
                <w:szCs w:val="24"/>
                <w:lang w:eastAsia="de-DE"/>
              </w:rPr>
            </w:pPr>
            <w:r w:rsidRPr="00993152">
              <w:rPr>
                <w:rFonts w:eastAsia="Times New Roman" w:cs="Arial"/>
                <w:b/>
                <w:bCs/>
                <w:sz w:val="24"/>
                <w:szCs w:val="24"/>
                <w:lang w:eastAsia="de-DE"/>
              </w:rPr>
              <w:t>Sonstiges</w:t>
            </w:r>
          </w:p>
        </w:tc>
        <w:tc>
          <w:tcPr>
            <w:tcW w:w="280" w:type="dxa"/>
            <w:tcBorders>
              <w:top w:val="nil"/>
              <w:left w:val="nil"/>
              <w:bottom w:val="single" w:sz="4" w:space="0" w:color="auto"/>
              <w:right w:val="single" w:sz="4" w:space="0" w:color="auto"/>
            </w:tcBorders>
            <w:shd w:val="clear" w:color="000000" w:fill="C0C0C0"/>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single" w:sz="4" w:space="0" w:color="auto"/>
              <w:left w:val="nil"/>
              <w:bottom w:val="single" w:sz="4" w:space="0" w:color="auto"/>
              <w:right w:val="single" w:sz="4" w:space="0" w:color="auto"/>
            </w:tcBorders>
            <w:shd w:val="pct25" w:color="000000" w:fill="FFFFFF"/>
            <w:noWrap/>
            <w:vAlign w:val="bottom"/>
            <w:hideMark/>
          </w:tcPr>
          <w:p w:rsidR="0061595C" w:rsidRPr="00993152" w:rsidRDefault="0061595C" w:rsidP="0061595C">
            <w:pPr>
              <w:rPr>
                <w:rFonts w:eastAsia="Times New Roman" w:cs="Arial"/>
                <w:b/>
                <w:bCs/>
                <w:sz w:val="20"/>
                <w:szCs w:val="20"/>
                <w:highlight w:val="lightGray"/>
                <w:lang w:eastAsia="de-DE"/>
              </w:rPr>
            </w:pPr>
            <w:r w:rsidRPr="00993152">
              <w:rPr>
                <w:rFonts w:eastAsia="Times New Roman" w:cs="Arial"/>
                <w:b/>
                <w:bCs/>
                <w:sz w:val="20"/>
                <w:szCs w:val="20"/>
                <w:highlight w:val="lightGray"/>
                <w:lang w:eastAsia="de-DE"/>
              </w:rPr>
              <w:t>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Waschmaschine</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xml:space="preserve">       300,00 € </w:t>
            </w:r>
          </w:p>
        </w:tc>
      </w:tr>
      <w:tr w:rsidR="00993152" w:rsidRPr="00993152" w:rsidTr="0061595C">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61595C" w:rsidRPr="00993152" w:rsidRDefault="0061595C" w:rsidP="0061595C">
            <w:pPr>
              <w:jc w:val="center"/>
              <w:rPr>
                <w:rFonts w:eastAsia="Times New Roman" w:cs="Arial"/>
                <w:sz w:val="20"/>
                <w:szCs w:val="20"/>
                <w:lang w:eastAsia="de-DE"/>
              </w:rPr>
            </w:pPr>
            <w:r w:rsidRPr="00993152">
              <w:rPr>
                <w:rFonts w:eastAsia="Times New Roman" w:cs="Arial"/>
                <w:sz w:val="20"/>
                <w:szCs w:val="20"/>
                <w:lang w:eastAsia="de-DE"/>
              </w:rPr>
              <w:t>Staubsauger</w:t>
            </w:r>
          </w:p>
        </w:tc>
        <w:tc>
          <w:tcPr>
            <w:tcW w:w="280" w:type="dxa"/>
            <w:tcBorders>
              <w:top w:val="nil"/>
              <w:left w:val="nil"/>
              <w:bottom w:val="single" w:sz="4" w:space="0" w:color="auto"/>
              <w:right w:val="single" w:sz="4" w:space="0" w:color="auto"/>
            </w:tcBorders>
            <w:shd w:val="clear" w:color="auto" w:fill="auto"/>
            <w:noWrap/>
            <w:vAlign w:val="bottom"/>
            <w:hideMark/>
          </w:tcPr>
          <w:p w:rsidR="0061595C" w:rsidRPr="00993152" w:rsidRDefault="0061595C" w:rsidP="0061595C">
            <w:pPr>
              <w:rPr>
                <w:rFonts w:eastAsia="Times New Roman" w:cs="Arial"/>
                <w:sz w:val="20"/>
                <w:szCs w:val="20"/>
                <w:lang w:eastAsia="de-DE"/>
              </w:rPr>
            </w:pPr>
            <w:r w:rsidRPr="00993152">
              <w:rPr>
                <w:rFonts w:eastAsia="Times New Roman" w:cs="Arial"/>
                <w:sz w:val="20"/>
                <w:szCs w:val="20"/>
                <w:lang w:eastAsia="de-DE"/>
              </w:rPr>
              <w:t> </w:t>
            </w:r>
          </w:p>
        </w:tc>
        <w:tc>
          <w:tcPr>
            <w:tcW w:w="1552" w:type="dxa"/>
            <w:tcBorders>
              <w:top w:val="single" w:sz="4" w:space="0" w:color="auto"/>
              <w:left w:val="nil"/>
              <w:bottom w:val="single" w:sz="4" w:space="0" w:color="auto"/>
              <w:right w:val="single" w:sz="4" w:space="0" w:color="auto"/>
            </w:tcBorders>
            <w:shd w:val="clear" w:color="000000" w:fill="FFFFFF"/>
            <w:noWrap/>
            <w:vAlign w:val="bottom"/>
            <w:hideMark/>
          </w:tcPr>
          <w:p w:rsidR="0061595C" w:rsidRPr="00993152" w:rsidRDefault="0061595C" w:rsidP="0061595C">
            <w:pPr>
              <w:rPr>
                <w:rFonts w:eastAsia="Times New Roman" w:cs="Arial"/>
                <w:b/>
                <w:bCs/>
                <w:sz w:val="20"/>
                <w:szCs w:val="20"/>
                <w:lang w:eastAsia="de-DE"/>
              </w:rPr>
            </w:pPr>
            <w:r w:rsidRPr="00993152">
              <w:rPr>
                <w:rFonts w:eastAsia="Times New Roman" w:cs="Arial"/>
                <w:b/>
                <w:bCs/>
                <w:sz w:val="20"/>
                <w:szCs w:val="20"/>
                <w:lang w:eastAsia="de-DE"/>
              </w:rPr>
              <w:t xml:space="preserve">         40,00 € </w:t>
            </w:r>
          </w:p>
        </w:tc>
      </w:tr>
    </w:tbl>
    <w:p w:rsidR="0061595C" w:rsidRPr="00993152" w:rsidRDefault="0061595C" w:rsidP="008F0678">
      <w:pPr>
        <w:ind w:left="142"/>
        <w:jc w:val="both"/>
      </w:pPr>
    </w:p>
    <w:p w:rsidR="00A95DC8" w:rsidRPr="00993152" w:rsidRDefault="00A95DC8" w:rsidP="008F0678">
      <w:pPr>
        <w:ind w:left="142"/>
        <w:jc w:val="both"/>
      </w:pPr>
      <w:r w:rsidRPr="00993152">
        <w:t xml:space="preserve">Die Verbescheidung kann mit </w:t>
      </w:r>
      <w:r w:rsidRPr="00993152">
        <w:rPr>
          <w:i/>
          <w:sz w:val="20"/>
          <w:szCs w:val="20"/>
        </w:rPr>
        <w:t>TB § 24 SGB II -10</w:t>
      </w:r>
      <w:r w:rsidRPr="00993152">
        <w:t xml:space="preserve"> erfolgen.</w:t>
      </w:r>
    </w:p>
    <w:p w:rsidR="00A2431D" w:rsidRPr="00993152" w:rsidRDefault="00A2431D" w:rsidP="008F0678">
      <w:pPr>
        <w:ind w:left="142"/>
        <w:jc w:val="both"/>
      </w:pPr>
    </w:p>
    <w:p w:rsidR="004B418F" w:rsidRPr="00993152" w:rsidRDefault="004B418F" w:rsidP="008F0678">
      <w:pPr>
        <w:ind w:left="142"/>
        <w:jc w:val="both"/>
      </w:pPr>
    </w:p>
    <w:p w:rsidR="00A2431D" w:rsidRPr="00993152" w:rsidRDefault="00A2431D" w:rsidP="008F0678">
      <w:pPr>
        <w:ind w:left="142"/>
        <w:jc w:val="both"/>
      </w:pPr>
    </w:p>
    <w:p w:rsidR="00A749A5" w:rsidRDefault="00A749A5" w:rsidP="008F0678">
      <w:pPr>
        <w:ind w:left="142"/>
        <w:jc w:val="both"/>
      </w:pPr>
    </w:p>
    <w:p w:rsidR="00FB51A2" w:rsidRDefault="00FB51A2" w:rsidP="008F0678">
      <w:pPr>
        <w:ind w:left="142"/>
        <w:jc w:val="both"/>
      </w:pPr>
    </w:p>
    <w:p w:rsidR="00FB51A2" w:rsidRDefault="00FB51A2" w:rsidP="008F0678">
      <w:pPr>
        <w:ind w:left="142"/>
        <w:jc w:val="both"/>
      </w:pPr>
    </w:p>
    <w:p w:rsidR="00FB51A2" w:rsidRDefault="00FB51A2" w:rsidP="008F0678">
      <w:pPr>
        <w:ind w:left="142"/>
        <w:jc w:val="both"/>
      </w:pPr>
    </w:p>
    <w:p w:rsidR="00C04801" w:rsidRPr="00993152" w:rsidRDefault="00C04801" w:rsidP="00E5033E">
      <w:pPr>
        <w:pStyle w:val="berschrift1"/>
        <w:numPr>
          <w:ilvl w:val="0"/>
          <w:numId w:val="16"/>
        </w:numPr>
        <w:ind w:left="567" w:hanging="567"/>
        <w:contextualSpacing/>
        <w:rPr>
          <w:sz w:val="24"/>
          <w:szCs w:val="24"/>
        </w:rPr>
      </w:pPr>
      <w:r w:rsidRPr="00993152">
        <w:rPr>
          <w:sz w:val="24"/>
          <w:szCs w:val="24"/>
        </w:rPr>
        <w:lastRenderedPageBreak/>
        <w:t xml:space="preserve">Erstausstattungen für Bekleidung und Erstausstattungen bei </w:t>
      </w:r>
    </w:p>
    <w:p w:rsidR="00A2431D" w:rsidRPr="00993152" w:rsidRDefault="00C04801" w:rsidP="00C04801">
      <w:pPr>
        <w:contextualSpacing/>
        <w:jc w:val="both"/>
        <w:rPr>
          <w:b/>
          <w:sz w:val="24"/>
          <w:szCs w:val="24"/>
        </w:rPr>
      </w:pPr>
      <w:r w:rsidRPr="00993152">
        <w:rPr>
          <w:b/>
          <w:sz w:val="24"/>
          <w:szCs w:val="24"/>
        </w:rPr>
        <w:t xml:space="preserve">         Schwangerschaft und  Geburt (§ 24 Abs. </w:t>
      </w:r>
      <w:r w:rsidR="00A8198E">
        <w:rPr>
          <w:b/>
          <w:sz w:val="24"/>
          <w:szCs w:val="24"/>
        </w:rPr>
        <w:t>3</w:t>
      </w:r>
      <w:r w:rsidRPr="00993152">
        <w:rPr>
          <w:b/>
          <w:sz w:val="24"/>
          <w:szCs w:val="24"/>
        </w:rPr>
        <w:t xml:space="preserve"> Satz 1 Nr. 2 SGB</w:t>
      </w:r>
      <w:r w:rsidRPr="00993152">
        <w:rPr>
          <w:sz w:val="24"/>
          <w:szCs w:val="24"/>
        </w:rPr>
        <w:t xml:space="preserve"> </w:t>
      </w:r>
      <w:r w:rsidRPr="00993152">
        <w:rPr>
          <w:b/>
          <w:sz w:val="24"/>
          <w:szCs w:val="24"/>
        </w:rPr>
        <w:t>II)</w:t>
      </w:r>
    </w:p>
    <w:p w:rsidR="00C04801" w:rsidRPr="00993152" w:rsidRDefault="00C04801" w:rsidP="00C04801">
      <w:pPr>
        <w:jc w:val="both"/>
        <w:rPr>
          <w:b/>
          <w:sz w:val="24"/>
          <w:szCs w:val="24"/>
        </w:rPr>
      </w:pPr>
    </w:p>
    <w:p w:rsidR="00C04801" w:rsidRPr="00993152" w:rsidRDefault="00C04801" w:rsidP="00405960">
      <w:pPr>
        <w:pStyle w:val="berschrift2"/>
        <w:numPr>
          <w:ilvl w:val="0"/>
          <w:numId w:val="0"/>
        </w:numPr>
        <w:ind w:left="142"/>
        <w:rPr>
          <w:sz w:val="24"/>
          <w:szCs w:val="24"/>
        </w:rPr>
      </w:pPr>
      <w:r w:rsidRPr="00993152">
        <w:t xml:space="preserve">  </w:t>
      </w:r>
      <w:r w:rsidRPr="00993152">
        <w:rPr>
          <w:sz w:val="24"/>
          <w:szCs w:val="24"/>
        </w:rPr>
        <w:t>3.1</w:t>
      </w:r>
      <w:r w:rsidR="00405960" w:rsidRPr="00993152">
        <w:rPr>
          <w:sz w:val="24"/>
          <w:szCs w:val="24"/>
        </w:rPr>
        <w:t xml:space="preserve"> </w:t>
      </w:r>
      <w:r w:rsidRPr="00993152">
        <w:rPr>
          <w:sz w:val="24"/>
          <w:szCs w:val="24"/>
        </w:rPr>
        <w:t xml:space="preserve"> Erstausstattungen für Bekleidung</w:t>
      </w:r>
    </w:p>
    <w:p w:rsidR="0040278C" w:rsidRPr="00993152" w:rsidRDefault="0040278C" w:rsidP="00C04801">
      <w:pPr>
        <w:jc w:val="both"/>
        <w:rPr>
          <w:b/>
          <w:sz w:val="24"/>
          <w:szCs w:val="24"/>
        </w:rPr>
      </w:pPr>
    </w:p>
    <w:p w:rsidR="0040278C" w:rsidRPr="00993152" w:rsidRDefault="0040278C" w:rsidP="000A34FB">
      <w:pPr>
        <w:ind w:left="142"/>
        <w:jc w:val="both"/>
      </w:pPr>
      <w:r w:rsidRPr="00993152">
        <w:t>Hier ist die Bekleidungserstausstattung bei einem vollständigen Verlust (z.B. Brand- oder   Wasserschaden der nicht durch Dritte ersetzt wird) oder bei außergewöhnlichen Umständen wie Erstausstattung nach längerer Haft oder Wohnungslosigkeit umfasst (vgl. LSG B</w:t>
      </w:r>
      <w:r w:rsidR="003121F3" w:rsidRPr="00993152">
        <w:t>erlin-Brandenburg</w:t>
      </w:r>
      <w:r w:rsidRPr="00993152">
        <w:t xml:space="preserve"> 25.02.2010 – L 34 AS 24/09-).</w:t>
      </w:r>
    </w:p>
    <w:p w:rsidR="009E3BDF" w:rsidRPr="00993152" w:rsidRDefault="009E3BDF" w:rsidP="000A34FB">
      <w:pPr>
        <w:ind w:left="142"/>
        <w:jc w:val="both"/>
      </w:pPr>
    </w:p>
    <w:p w:rsidR="00084AD9" w:rsidRPr="00993152" w:rsidRDefault="00084AD9" w:rsidP="000A34FB">
      <w:pPr>
        <w:ind w:left="142"/>
        <w:jc w:val="both"/>
        <w:rPr>
          <w:rFonts w:cs="Arial"/>
        </w:rPr>
      </w:pPr>
      <w:r w:rsidRPr="00993152">
        <w:rPr>
          <w:rFonts w:cs="Arial"/>
        </w:rPr>
        <w:t>Ein Anspruch auf eine "Erstausstattung" für Bekleidung setzt eine grundlegend neue Lebenssituation voraus. Krankenhausaufenthalte, Reha-Maßnahmen und dgl. fallen nicht darunter (vgl. LSG Rheinland-Pfalz  01.10.2008 – L 5 B 342/08 AS-).</w:t>
      </w:r>
    </w:p>
    <w:p w:rsidR="009E3BDF" w:rsidRPr="00993152" w:rsidRDefault="009E3BDF" w:rsidP="000A34FB">
      <w:pPr>
        <w:ind w:left="142"/>
        <w:jc w:val="both"/>
        <w:rPr>
          <w:rFonts w:cs="Arial"/>
        </w:rPr>
      </w:pPr>
    </w:p>
    <w:p w:rsidR="00084AD9" w:rsidRPr="00993152" w:rsidRDefault="00084AD9" w:rsidP="000A34FB">
      <w:pPr>
        <w:ind w:left="142"/>
        <w:jc w:val="both"/>
        <w:rPr>
          <w:rFonts w:cs="Arial"/>
        </w:rPr>
      </w:pPr>
      <w:r w:rsidRPr="00993152">
        <w:rPr>
          <w:rFonts w:cs="Arial"/>
        </w:rPr>
        <w:t>Auch  die Bekleidung bei Familienfeiern anlässlich religiöser Feste fällt nicht unter eine Erstausstattung (vgl. Bayer. LSG 23.04.2009 – L 11 AS 125/08-).</w:t>
      </w:r>
    </w:p>
    <w:p w:rsidR="00944FDF" w:rsidRPr="007A6096" w:rsidRDefault="00820E4C" w:rsidP="000A34FB">
      <w:pPr>
        <w:ind w:left="142"/>
        <w:jc w:val="both"/>
        <w:rPr>
          <w:rFonts w:cs="Arial"/>
        </w:rPr>
      </w:pPr>
      <w:r w:rsidRPr="00993152">
        <w:rPr>
          <w:rFonts w:cs="Arial"/>
        </w:rPr>
        <w:t>Ebenso wenig die Übernahme von Kosten des</w:t>
      </w:r>
      <w:r w:rsidR="00944FDF">
        <w:rPr>
          <w:rFonts w:cs="Arial"/>
        </w:rPr>
        <w:t xml:space="preserve"> </w:t>
      </w:r>
      <w:r w:rsidR="00944FDF" w:rsidRPr="007A6096">
        <w:rPr>
          <w:rFonts w:cs="Arial"/>
        </w:rPr>
        <w:t>„normalen und üblichen“</w:t>
      </w:r>
      <w:r w:rsidRPr="007A6096">
        <w:rPr>
          <w:rFonts w:cs="Arial"/>
        </w:rPr>
        <w:t xml:space="preserve"> wachstumsbedingten Bekleidungsbedarfs von Kindern </w:t>
      </w:r>
    </w:p>
    <w:p w:rsidR="00084AD9" w:rsidRDefault="00820E4C" w:rsidP="000A34FB">
      <w:pPr>
        <w:ind w:left="142"/>
        <w:jc w:val="both"/>
        <w:rPr>
          <w:rFonts w:cs="Arial"/>
        </w:rPr>
      </w:pPr>
      <w:r w:rsidRPr="00993152">
        <w:rPr>
          <w:rFonts w:cs="Arial"/>
        </w:rPr>
        <w:t>(BSG 23.03.2010 – B 14 AS 81/08 R</w:t>
      </w:r>
      <w:r w:rsidR="00AA39F3" w:rsidRPr="00993152">
        <w:rPr>
          <w:rFonts w:cs="Arial"/>
        </w:rPr>
        <w:t>-</w:t>
      </w:r>
      <w:r w:rsidRPr="00993152">
        <w:rPr>
          <w:rFonts w:cs="Arial"/>
        </w:rPr>
        <w:t>).</w:t>
      </w:r>
    </w:p>
    <w:p w:rsidR="00ED495A" w:rsidRDefault="00ED495A" w:rsidP="000A34FB">
      <w:pPr>
        <w:ind w:left="142"/>
        <w:jc w:val="both"/>
        <w:rPr>
          <w:rFonts w:cs="Arial"/>
        </w:rPr>
      </w:pPr>
    </w:p>
    <w:p w:rsidR="00944FDF" w:rsidRPr="007A6096" w:rsidRDefault="00944FDF" w:rsidP="000A34FB">
      <w:pPr>
        <w:ind w:left="142"/>
        <w:jc w:val="both"/>
        <w:rPr>
          <w:rFonts w:cs="Arial"/>
        </w:rPr>
      </w:pPr>
      <w:r w:rsidRPr="007A6096">
        <w:rPr>
          <w:rFonts w:cs="Arial"/>
        </w:rPr>
        <w:t>Liegt jedoch ein über dem Durchschnitt liegender Größenwachstum bei Kindern oder auch bei Erwachsenen eine krankheitsbedingte große Gewichtszu- oder Gewichtsabnahme vor, kann dies über die Gewährung von Erstausstattung gesondert abzudecken sein (so auch Münder in LPK-SGB II, 4. Auflage,  § 24 R</w:t>
      </w:r>
      <w:r w:rsidR="00A53E4B" w:rsidRPr="007A6096">
        <w:rPr>
          <w:rFonts w:cs="Arial"/>
        </w:rPr>
        <w:t>dNr.</w:t>
      </w:r>
      <w:r w:rsidRPr="007A6096">
        <w:rPr>
          <w:rFonts w:cs="Arial"/>
        </w:rPr>
        <w:t xml:space="preserve"> 35; Blüggel</w:t>
      </w:r>
      <w:r w:rsidR="00845ACB" w:rsidRPr="007A6096">
        <w:rPr>
          <w:rFonts w:cs="Arial"/>
        </w:rPr>
        <w:t xml:space="preserve"> in Eicher/Spellbrink SGB II, 3. Auflage, § 24 Rn 105</w:t>
      </w:r>
      <w:r w:rsidRPr="007A6096">
        <w:rPr>
          <w:rFonts w:cs="Arial"/>
        </w:rPr>
        <w:t>).</w:t>
      </w:r>
    </w:p>
    <w:p w:rsidR="00944FDF" w:rsidRDefault="00944FDF" w:rsidP="000A34FB">
      <w:pPr>
        <w:ind w:left="142"/>
        <w:jc w:val="both"/>
        <w:rPr>
          <w:rFonts w:cs="Arial"/>
        </w:rPr>
      </w:pPr>
    </w:p>
    <w:p w:rsidR="00ED495A" w:rsidRPr="00E01D59" w:rsidRDefault="00ED495A" w:rsidP="00ED495A">
      <w:pPr>
        <w:autoSpaceDE w:val="0"/>
        <w:autoSpaceDN w:val="0"/>
        <w:adjustRightInd w:val="0"/>
        <w:ind w:left="142"/>
        <w:rPr>
          <w:rFonts w:eastAsia="Times New Roman" w:cs="Arial"/>
          <w:lang w:eastAsia="de-DE"/>
        </w:rPr>
      </w:pPr>
      <w:r w:rsidRPr="00E01D59">
        <w:rPr>
          <w:rFonts w:eastAsia="Times New Roman" w:cs="Arial"/>
          <w:lang w:eastAsia="de-DE"/>
        </w:rPr>
        <w:t xml:space="preserve">Anerkannte Flüchtlinge können auf Antrag 1x Erstausstattung für Bekleidung (Sommer </w:t>
      </w:r>
      <w:r w:rsidRPr="00E01D59">
        <w:rPr>
          <w:rFonts w:eastAsia="Times New Roman" w:cs="Arial"/>
          <w:b/>
          <w:lang w:eastAsia="de-DE"/>
        </w:rPr>
        <w:t xml:space="preserve">oder </w:t>
      </w:r>
      <w:r w:rsidRPr="00E01D59">
        <w:rPr>
          <w:rFonts w:eastAsia="Times New Roman" w:cs="Arial"/>
          <w:lang w:eastAsia="de-DE"/>
        </w:rPr>
        <w:t>Winter je nach Jahreszeit) erhalten, wenn:</w:t>
      </w:r>
    </w:p>
    <w:p w:rsidR="00ED495A" w:rsidRPr="00E01D59" w:rsidRDefault="00ED495A" w:rsidP="00ED495A">
      <w:pPr>
        <w:autoSpaceDE w:val="0"/>
        <w:autoSpaceDN w:val="0"/>
        <w:adjustRightInd w:val="0"/>
        <w:ind w:left="142"/>
        <w:rPr>
          <w:rFonts w:eastAsia="Times New Roman" w:cs="Arial"/>
          <w:lang w:eastAsia="de-DE"/>
        </w:rPr>
      </w:pPr>
    </w:p>
    <w:p w:rsidR="00ED495A" w:rsidRPr="00E01D59" w:rsidRDefault="00ED495A" w:rsidP="00ED495A">
      <w:pPr>
        <w:numPr>
          <w:ilvl w:val="0"/>
          <w:numId w:val="28"/>
        </w:numPr>
        <w:autoSpaceDE w:val="0"/>
        <w:autoSpaceDN w:val="0"/>
        <w:adjustRightInd w:val="0"/>
        <w:ind w:left="142" w:firstLine="0"/>
        <w:contextualSpacing/>
        <w:rPr>
          <w:rFonts w:cs="Arial"/>
        </w:rPr>
      </w:pPr>
      <w:r w:rsidRPr="00E01D59">
        <w:rPr>
          <w:rFonts w:cs="Arial"/>
        </w:rPr>
        <w:t>sie noch im ersten BWZ sind und</w:t>
      </w:r>
    </w:p>
    <w:p w:rsidR="00ED495A" w:rsidRPr="00E01D59" w:rsidRDefault="00ED495A" w:rsidP="00ED495A">
      <w:pPr>
        <w:numPr>
          <w:ilvl w:val="0"/>
          <w:numId w:val="28"/>
        </w:numPr>
        <w:autoSpaceDE w:val="0"/>
        <w:autoSpaceDN w:val="0"/>
        <w:adjustRightInd w:val="0"/>
        <w:ind w:left="142" w:firstLine="0"/>
        <w:contextualSpacing/>
        <w:rPr>
          <w:rFonts w:cs="Arial"/>
        </w:rPr>
      </w:pPr>
      <w:r w:rsidRPr="00E01D59">
        <w:rPr>
          <w:rFonts w:cs="Arial"/>
        </w:rPr>
        <w:t>sie keine entsprechende Bekl. über AsylblG erhalten haben.</w:t>
      </w:r>
    </w:p>
    <w:p w:rsidR="00ED495A" w:rsidRPr="00E01D59" w:rsidRDefault="00ED495A" w:rsidP="00ED495A">
      <w:pPr>
        <w:autoSpaceDE w:val="0"/>
        <w:autoSpaceDN w:val="0"/>
        <w:adjustRightInd w:val="0"/>
        <w:ind w:left="142"/>
        <w:rPr>
          <w:rFonts w:ascii="Times New Roman" w:eastAsia="Times New Roman" w:hAnsi="Times New Roman" w:cs="Arial"/>
          <w:sz w:val="20"/>
          <w:szCs w:val="20"/>
          <w:lang w:eastAsia="de-DE"/>
        </w:rPr>
      </w:pPr>
    </w:p>
    <w:p w:rsidR="00ED495A" w:rsidRPr="00ED495A" w:rsidRDefault="00ED495A" w:rsidP="00565F49">
      <w:pPr>
        <w:autoSpaceDE w:val="0"/>
        <w:autoSpaceDN w:val="0"/>
        <w:adjustRightInd w:val="0"/>
        <w:ind w:left="142"/>
        <w:jc w:val="both"/>
        <w:rPr>
          <w:rFonts w:eastAsia="Times New Roman" w:cs="Arial"/>
          <w:color w:val="31849B" w:themeColor="accent5" w:themeShade="BF"/>
          <w:lang w:eastAsia="de-DE"/>
        </w:rPr>
      </w:pPr>
      <w:r w:rsidRPr="00E01D59">
        <w:rPr>
          <w:rFonts w:eastAsia="Times New Roman" w:cs="Arial"/>
          <w:lang w:eastAsia="de-DE"/>
        </w:rPr>
        <w:t>Sind sie bereits im zweiten BWZ konnte Bekleidung angespart werden, da im Regelbedarf zw</w:t>
      </w:r>
      <w:r w:rsidR="00C019B8" w:rsidRPr="00E01D59">
        <w:rPr>
          <w:rFonts w:eastAsia="Times New Roman" w:cs="Arial"/>
          <w:lang w:eastAsia="de-DE"/>
        </w:rPr>
        <w:t>ischen</w:t>
      </w:r>
      <w:r w:rsidRPr="00E01D59">
        <w:rPr>
          <w:rFonts w:eastAsia="Times New Roman" w:cs="Arial"/>
          <w:lang w:eastAsia="de-DE"/>
        </w:rPr>
        <w:t xml:space="preserve"> </w:t>
      </w:r>
      <w:r w:rsidR="00C619E7" w:rsidRPr="00C96AD9">
        <w:rPr>
          <w:rFonts w:eastAsia="Times New Roman" w:cs="Arial"/>
          <w:lang w:eastAsia="de-DE"/>
        </w:rPr>
        <w:t>27,22</w:t>
      </w:r>
      <w:r w:rsidRPr="00C96AD9">
        <w:rPr>
          <w:rFonts w:eastAsia="Times New Roman" w:cs="Arial"/>
          <w:lang w:eastAsia="de-DE"/>
        </w:rPr>
        <w:t xml:space="preserve"> und </w:t>
      </w:r>
      <w:r w:rsidR="00C619E7" w:rsidRPr="00C96AD9">
        <w:rPr>
          <w:rFonts w:eastAsia="Times New Roman" w:cs="Arial"/>
          <w:lang w:eastAsia="de-DE"/>
        </w:rPr>
        <w:t>41,61</w:t>
      </w:r>
      <w:r w:rsidRPr="00C96AD9">
        <w:rPr>
          <w:rFonts w:eastAsia="Times New Roman" w:cs="Arial"/>
          <w:lang w:eastAsia="de-DE"/>
        </w:rPr>
        <w:t xml:space="preserve"> </w:t>
      </w:r>
      <w:r w:rsidRPr="00E01D59">
        <w:rPr>
          <w:rFonts w:eastAsia="Times New Roman" w:cs="Arial"/>
          <w:lang w:eastAsia="de-DE"/>
        </w:rPr>
        <w:t>EUR hierfür enthalten sind. Auch wenn bereits über eine Leistung des AsylblG Bekleidung bewilligt wurde ist der Antrag abzulehnen</w:t>
      </w:r>
      <w:r w:rsidRPr="00ED495A">
        <w:rPr>
          <w:rFonts w:eastAsia="Times New Roman" w:cs="Arial"/>
          <w:color w:val="31849B" w:themeColor="accent5" w:themeShade="BF"/>
          <w:lang w:eastAsia="de-DE"/>
        </w:rPr>
        <w:t xml:space="preserve">. </w:t>
      </w:r>
    </w:p>
    <w:p w:rsidR="00ED495A" w:rsidRPr="00ED495A" w:rsidRDefault="00ED495A" w:rsidP="00ED495A">
      <w:pPr>
        <w:ind w:left="142"/>
        <w:jc w:val="both"/>
        <w:rPr>
          <w:rFonts w:cs="Arial"/>
          <w:color w:val="31849B" w:themeColor="accent5" w:themeShade="BF"/>
        </w:rPr>
      </w:pPr>
    </w:p>
    <w:p w:rsidR="000A34FB" w:rsidRPr="00993152" w:rsidRDefault="000A34FB" w:rsidP="000A34FB">
      <w:pPr>
        <w:ind w:left="142"/>
        <w:jc w:val="both"/>
        <w:rPr>
          <w:rFonts w:cs="Arial"/>
        </w:rPr>
      </w:pPr>
    </w:p>
    <w:p w:rsidR="000A34FB" w:rsidRPr="00993152" w:rsidRDefault="000A34FB" w:rsidP="000A34FB">
      <w:pPr>
        <w:ind w:left="142"/>
        <w:jc w:val="both"/>
        <w:rPr>
          <w:rFonts w:cs="Arial"/>
        </w:rPr>
      </w:pPr>
      <w:r w:rsidRPr="00993152">
        <w:rPr>
          <w:rFonts w:cs="Arial"/>
        </w:rPr>
        <w:t>Die Pauschalbeträge im Jobcenter Passau Land für Bekleidungsbeihilfen:</w:t>
      </w:r>
    </w:p>
    <w:p w:rsidR="00084AD9" w:rsidRPr="00993152" w:rsidRDefault="00084AD9" w:rsidP="000A34FB">
      <w:pPr>
        <w:jc w:val="both"/>
        <w:rPr>
          <w:rFonts w:cs="Arial"/>
        </w:rPr>
      </w:pPr>
    </w:p>
    <w:tbl>
      <w:tblPr>
        <w:tblW w:w="9280" w:type="dxa"/>
        <w:tblInd w:w="55" w:type="dxa"/>
        <w:tblCellMar>
          <w:left w:w="70" w:type="dxa"/>
          <w:right w:w="70" w:type="dxa"/>
        </w:tblCellMar>
        <w:tblLook w:val="04A0" w:firstRow="1" w:lastRow="0" w:firstColumn="1" w:lastColumn="0" w:noHBand="0" w:noVBand="1"/>
      </w:tblPr>
      <w:tblGrid>
        <w:gridCol w:w="7680"/>
        <w:gridCol w:w="280"/>
        <w:gridCol w:w="1320"/>
      </w:tblGrid>
      <w:tr w:rsidR="00993152" w:rsidRPr="00993152" w:rsidTr="000A34FB">
        <w:trPr>
          <w:trHeight w:val="28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4FB" w:rsidRPr="00993152" w:rsidRDefault="005F51B1" w:rsidP="00EF1AB4">
            <w:pPr>
              <w:jc w:val="both"/>
              <w:rPr>
                <w:rFonts w:eastAsia="Times New Roman" w:cs="Arial"/>
                <w:sz w:val="20"/>
                <w:szCs w:val="20"/>
                <w:lang w:eastAsia="de-DE"/>
              </w:rPr>
            </w:pPr>
            <w:r w:rsidRPr="00993152">
              <w:t xml:space="preserve">  </w:t>
            </w:r>
            <w:r w:rsidR="000A34FB" w:rsidRPr="00993152">
              <w:t xml:space="preserve"> </w:t>
            </w:r>
            <w:r w:rsidR="000A34FB" w:rsidRPr="00993152">
              <w:rPr>
                <w:rFonts w:eastAsia="Times New Roman" w:cs="Arial"/>
                <w:sz w:val="20"/>
                <w:szCs w:val="20"/>
                <w:lang w:eastAsia="de-DE"/>
              </w:rPr>
              <w:t>Männer ab 14. Lebensjahr (Sommer)</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157,00 € </w:t>
            </w:r>
          </w:p>
        </w:tc>
      </w:tr>
      <w:tr w:rsidR="00993152" w:rsidRPr="00993152" w:rsidTr="000A34FB">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0A34FB" w:rsidRPr="00993152" w:rsidRDefault="000A34FB" w:rsidP="00EF1AB4">
            <w:pPr>
              <w:jc w:val="both"/>
              <w:rPr>
                <w:rFonts w:eastAsia="Times New Roman" w:cs="Arial"/>
                <w:sz w:val="20"/>
                <w:szCs w:val="20"/>
                <w:lang w:eastAsia="de-DE"/>
              </w:rPr>
            </w:pPr>
            <w:r w:rsidRPr="00993152">
              <w:rPr>
                <w:rFonts w:eastAsia="Times New Roman" w:cs="Arial"/>
                <w:sz w:val="20"/>
                <w:szCs w:val="20"/>
                <w:lang w:eastAsia="de-DE"/>
              </w:rPr>
              <w:t xml:space="preserve">   Männer ab 14. Lebensjahr (Winter)</w:t>
            </w:r>
          </w:p>
        </w:tc>
        <w:tc>
          <w:tcPr>
            <w:tcW w:w="28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191,00 € </w:t>
            </w:r>
          </w:p>
        </w:tc>
      </w:tr>
      <w:tr w:rsidR="00993152" w:rsidRPr="00993152" w:rsidTr="000A34FB">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sz w:val="20"/>
                <w:szCs w:val="20"/>
                <w:lang w:eastAsia="de-DE"/>
              </w:rPr>
            </w:pPr>
            <w:r w:rsidRPr="00993152">
              <w:rPr>
                <w:rFonts w:eastAsia="Times New Roman" w:cs="Arial"/>
                <w:sz w:val="20"/>
                <w:szCs w:val="20"/>
                <w:lang w:eastAsia="de-DE"/>
              </w:rPr>
              <w:t xml:space="preserve">   Frauen ab 14. Lebensjahr (Sommer</w:t>
            </w:r>
          </w:p>
        </w:tc>
        <w:tc>
          <w:tcPr>
            <w:tcW w:w="28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177,00 € </w:t>
            </w:r>
          </w:p>
        </w:tc>
      </w:tr>
      <w:tr w:rsidR="00993152" w:rsidRPr="00993152" w:rsidTr="000A34FB">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sz w:val="20"/>
                <w:szCs w:val="20"/>
                <w:lang w:eastAsia="de-DE"/>
              </w:rPr>
            </w:pPr>
            <w:r w:rsidRPr="00993152">
              <w:rPr>
                <w:rFonts w:eastAsia="Times New Roman" w:cs="Arial"/>
                <w:sz w:val="20"/>
                <w:szCs w:val="20"/>
                <w:lang w:eastAsia="de-DE"/>
              </w:rPr>
              <w:t xml:space="preserve">   Frauen ab 14. Lebensjahr (Winter)</w:t>
            </w:r>
          </w:p>
        </w:tc>
        <w:tc>
          <w:tcPr>
            <w:tcW w:w="28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211,00 € </w:t>
            </w:r>
          </w:p>
        </w:tc>
      </w:tr>
      <w:tr w:rsidR="00993152" w:rsidRPr="00993152" w:rsidTr="000A34FB">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sz w:val="20"/>
                <w:szCs w:val="20"/>
                <w:lang w:eastAsia="de-DE"/>
              </w:rPr>
            </w:pPr>
            <w:r w:rsidRPr="00993152">
              <w:rPr>
                <w:rFonts w:eastAsia="Times New Roman" w:cs="Arial"/>
                <w:sz w:val="20"/>
                <w:szCs w:val="20"/>
                <w:lang w:eastAsia="de-DE"/>
              </w:rPr>
              <w:t xml:space="preserve">   Kinder 7. Monat - 13. Lj. (Sommer)</w:t>
            </w:r>
          </w:p>
        </w:tc>
        <w:tc>
          <w:tcPr>
            <w:tcW w:w="28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160,00 € </w:t>
            </w:r>
          </w:p>
        </w:tc>
      </w:tr>
      <w:tr w:rsidR="00993152" w:rsidRPr="00993152" w:rsidTr="000A34FB">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sz w:val="20"/>
                <w:szCs w:val="20"/>
                <w:lang w:eastAsia="de-DE"/>
              </w:rPr>
            </w:pPr>
            <w:r w:rsidRPr="00993152">
              <w:rPr>
                <w:rFonts w:eastAsia="Times New Roman" w:cs="Arial"/>
                <w:sz w:val="20"/>
                <w:szCs w:val="20"/>
                <w:lang w:eastAsia="de-DE"/>
              </w:rPr>
              <w:t xml:space="preserve">   Kinder 7. Monat - 13. Lj. (Winter)</w:t>
            </w:r>
          </w:p>
        </w:tc>
        <w:tc>
          <w:tcPr>
            <w:tcW w:w="28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218,00 € </w:t>
            </w:r>
          </w:p>
        </w:tc>
      </w:tr>
      <w:tr w:rsidR="00993152" w:rsidRPr="00993152" w:rsidTr="000A34FB">
        <w:trPr>
          <w:trHeight w:val="285"/>
        </w:trPr>
        <w:tc>
          <w:tcPr>
            <w:tcW w:w="7680" w:type="dxa"/>
            <w:tcBorders>
              <w:top w:val="nil"/>
              <w:left w:val="single" w:sz="4" w:space="0" w:color="auto"/>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sz w:val="20"/>
                <w:szCs w:val="20"/>
                <w:lang w:eastAsia="de-DE"/>
              </w:rPr>
            </w:pPr>
            <w:r w:rsidRPr="00993152">
              <w:rPr>
                <w:rFonts w:eastAsia="Times New Roman" w:cs="Arial"/>
                <w:sz w:val="20"/>
                <w:szCs w:val="20"/>
                <w:lang w:eastAsia="de-DE"/>
              </w:rPr>
              <w:t xml:space="preserve">   Kleinkinder bis 6. Monat (Sommer)</w:t>
            </w:r>
          </w:p>
        </w:tc>
        <w:tc>
          <w:tcPr>
            <w:tcW w:w="28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nil"/>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122,00 € </w:t>
            </w:r>
          </w:p>
        </w:tc>
      </w:tr>
      <w:tr w:rsidR="00993152" w:rsidRPr="00993152" w:rsidTr="000A34FB">
        <w:trPr>
          <w:trHeight w:val="285"/>
        </w:trPr>
        <w:tc>
          <w:tcPr>
            <w:tcW w:w="7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sz w:val="20"/>
                <w:szCs w:val="20"/>
                <w:lang w:eastAsia="de-DE"/>
              </w:rPr>
            </w:pPr>
            <w:r w:rsidRPr="00993152">
              <w:rPr>
                <w:rFonts w:eastAsia="Times New Roman" w:cs="Arial"/>
                <w:sz w:val="20"/>
                <w:szCs w:val="20"/>
                <w:lang w:eastAsia="de-DE"/>
              </w:rPr>
              <w:t xml:space="preserve">   Kleinkinder bis 6. Monat (Winter)</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lang w:eastAsia="de-DE"/>
              </w:rPr>
            </w:pPr>
            <w:r w:rsidRPr="00993152">
              <w:rPr>
                <w:rFonts w:eastAsia="Times New Roman" w:cs="Arial"/>
                <w:lang w:eastAsia="de-DE"/>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0A34FB" w:rsidRPr="00993152" w:rsidRDefault="000A34FB" w:rsidP="000A34FB">
            <w:pPr>
              <w:jc w:val="both"/>
              <w:rPr>
                <w:rFonts w:eastAsia="Times New Roman" w:cs="Arial"/>
                <w:b/>
                <w:bCs/>
                <w:sz w:val="20"/>
                <w:szCs w:val="20"/>
                <w:lang w:eastAsia="de-DE"/>
              </w:rPr>
            </w:pPr>
            <w:r w:rsidRPr="00993152">
              <w:rPr>
                <w:rFonts w:eastAsia="Times New Roman" w:cs="Arial"/>
                <w:b/>
                <w:bCs/>
                <w:sz w:val="20"/>
                <w:szCs w:val="20"/>
                <w:lang w:eastAsia="de-DE"/>
              </w:rPr>
              <w:t xml:space="preserve">       141,50 € </w:t>
            </w:r>
          </w:p>
        </w:tc>
      </w:tr>
    </w:tbl>
    <w:p w:rsidR="00084AD9" w:rsidRPr="00993152" w:rsidRDefault="00084AD9" w:rsidP="00C04801">
      <w:pPr>
        <w:jc w:val="both"/>
      </w:pPr>
    </w:p>
    <w:p w:rsidR="00A95DC8" w:rsidRPr="00993152" w:rsidRDefault="00A95DC8" w:rsidP="00C04801">
      <w:pPr>
        <w:jc w:val="both"/>
      </w:pPr>
      <w:r w:rsidRPr="00993152">
        <w:t xml:space="preserve">Die Verbescheidung kann mit </w:t>
      </w:r>
      <w:r w:rsidRPr="00993152">
        <w:rPr>
          <w:i/>
          <w:sz w:val="20"/>
          <w:szCs w:val="20"/>
        </w:rPr>
        <w:t>TB §24 SGB II -11</w:t>
      </w:r>
      <w:r w:rsidRPr="00993152">
        <w:t xml:space="preserve"> erfolgen.</w:t>
      </w:r>
    </w:p>
    <w:p w:rsidR="006F6770" w:rsidRPr="00993152" w:rsidRDefault="006F6770" w:rsidP="00C04801">
      <w:pPr>
        <w:jc w:val="both"/>
      </w:pPr>
    </w:p>
    <w:p w:rsidR="001D2AF9" w:rsidRPr="00993152" w:rsidRDefault="001D2AF9" w:rsidP="00C04801">
      <w:pPr>
        <w:jc w:val="both"/>
      </w:pPr>
    </w:p>
    <w:p w:rsidR="006F6770" w:rsidRPr="00993152" w:rsidRDefault="006F6770" w:rsidP="00405960">
      <w:pPr>
        <w:pStyle w:val="berschrift2"/>
        <w:numPr>
          <w:ilvl w:val="0"/>
          <w:numId w:val="0"/>
        </w:numPr>
        <w:ind w:left="142"/>
        <w:rPr>
          <w:sz w:val="24"/>
          <w:szCs w:val="24"/>
        </w:rPr>
      </w:pPr>
      <w:r w:rsidRPr="00993152">
        <w:rPr>
          <w:sz w:val="24"/>
          <w:szCs w:val="24"/>
        </w:rPr>
        <w:t xml:space="preserve">3.2 </w:t>
      </w:r>
      <w:r w:rsidR="00405960" w:rsidRPr="00993152">
        <w:rPr>
          <w:sz w:val="24"/>
          <w:szCs w:val="24"/>
        </w:rPr>
        <w:t xml:space="preserve"> </w:t>
      </w:r>
      <w:r w:rsidRPr="00993152">
        <w:rPr>
          <w:sz w:val="24"/>
          <w:szCs w:val="24"/>
        </w:rPr>
        <w:t>Erstausstattungen bei Schwangerschaft</w:t>
      </w:r>
    </w:p>
    <w:p w:rsidR="006F6770" w:rsidRPr="00993152" w:rsidRDefault="006F6770" w:rsidP="00C04801">
      <w:pPr>
        <w:jc w:val="both"/>
        <w:rPr>
          <w:b/>
          <w:sz w:val="24"/>
          <w:szCs w:val="24"/>
        </w:rPr>
      </w:pPr>
    </w:p>
    <w:p w:rsidR="006F6770" w:rsidRPr="00993152" w:rsidRDefault="006F6770" w:rsidP="00C04801">
      <w:pPr>
        <w:jc w:val="both"/>
      </w:pPr>
      <w:r w:rsidRPr="00993152">
        <w:t xml:space="preserve">Der Nachweis einer Schwangerschaft kann durch ärztliches Attest oder durch Vorlage des Mutterpasses erfolgen. </w:t>
      </w:r>
    </w:p>
    <w:p w:rsidR="006F6770" w:rsidRPr="00993152" w:rsidRDefault="006F6770" w:rsidP="00C04801">
      <w:pPr>
        <w:jc w:val="both"/>
      </w:pPr>
    </w:p>
    <w:p w:rsidR="006F6770" w:rsidRPr="00993152" w:rsidRDefault="006F6770" w:rsidP="00C04801">
      <w:pPr>
        <w:jc w:val="both"/>
      </w:pPr>
      <w:r w:rsidRPr="00993152">
        <w:t xml:space="preserve">Der Pauschalbetrag für </w:t>
      </w:r>
      <w:r w:rsidRPr="00993152">
        <w:rPr>
          <w:b/>
        </w:rPr>
        <w:t>Schwangerschaftsbekleidun</w:t>
      </w:r>
      <w:r w:rsidRPr="00993152">
        <w:t xml:space="preserve">g beträgt im Jobcenter Passau Land </w:t>
      </w:r>
      <w:r w:rsidRPr="00993152">
        <w:rPr>
          <w:b/>
        </w:rPr>
        <w:t>225,00 EUR</w:t>
      </w:r>
      <w:r w:rsidR="001A68E6" w:rsidRPr="00993152">
        <w:t xml:space="preserve"> </w:t>
      </w:r>
      <w:r w:rsidR="001A68E6" w:rsidRPr="00993152">
        <w:rPr>
          <w:i/>
          <w:sz w:val="20"/>
          <w:szCs w:val="20"/>
        </w:rPr>
        <w:t>(TB § 24 SGB II -13</w:t>
      </w:r>
      <w:r w:rsidR="001A68E6" w:rsidRPr="00993152">
        <w:t>)</w:t>
      </w:r>
      <w:r w:rsidRPr="00993152">
        <w:t xml:space="preserve">.  </w:t>
      </w:r>
    </w:p>
    <w:p w:rsidR="007E2EDB" w:rsidRPr="00993152" w:rsidRDefault="007E2EDB" w:rsidP="00C04801">
      <w:pPr>
        <w:jc w:val="both"/>
      </w:pPr>
    </w:p>
    <w:p w:rsidR="007E2EDB" w:rsidRPr="00993152" w:rsidRDefault="007E2EDB" w:rsidP="00C04801">
      <w:pPr>
        <w:jc w:val="both"/>
      </w:pPr>
    </w:p>
    <w:p w:rsidR="004B418F" w:rsidRPr="00993152" w:rsidRDefault="004B418F" w:rsidP="00C04801">
      <w:pPr>
        <w:jc w:val="both"/>
      </w:pPr>
    </w:p>
    <w:p w:rsidR="007E2EDB" w:rsidRPr="00993152" w:rsidRDefault="007E2EDB" w:rsidP="00405960">
      <w:pPr>
        <w:pStyle w:val="berschrift2"/>
        <w:numPr>
          <w:ilvl w:val="0"/>
          <w:numId w:val="0"/>
        </w:numPr>
        <w:ind w:left="142"/>
        <w:rPr>
          <w:sz w:val="24"/>
          <w:szCs w:val="24"/>
        </w:rPr>
      </w:pPr>
      <w:r w:rsidRPr="00993152">
        <w:rPr>
          <w:sz w:val="24"/>
          <w:szCs w:val="24"/>
        </w:rPr>
        <w:t xml:space="preserve">3.3 </w:t>
      </w:r>
      <w:r w:rsidR="00405960" w:rsidRPr="00993152">
        <w:rPr>
          <w:sz w:val="24"/>
          <w:szCs w:val="24"/>
        </w:rPr>
        <w:t xml:space="preserve"> </w:t>
      </w:r>
      <w:r w:rsidRPr="00993152">
        <w:rPr>
          <w:sz w:val="24"/>
          <w:szCs w:val="24"/>
        </w:rPr>
        <w:t>Erstausstattungen bei Geburt</w:t>
      </w:r>
    </w:p>
    <w:p w:rsidR="007E2EDB" w:rsidRPr="00993152" w:rsidRDefault="001A68E6" w:rsidP="00C04801">
      <w:pPr>
        <w:jc w:val="both"/>
      </w:pPr>
      <w:r w:rsidRPr="00993152">
        <w:t xml:space="preserve">  </w:t>
      </w:r>
    </w:p>
    <w:p w:rsidR="001A68E6" w:rsidRPr="00993152" w:rsidRDefault="001A68E6" w:rsidP="00C04801">
      <w:pPr>
        <w:jc w:val="both"/>
      </w:pPr>
      <w:r w:rsidRPr="00993152">
        <w:t xml:space="preserve">Hierzu zählt sowohl die Erstausstattung mit </w:t>
      </w:r>
      <w:r w:rsidRPr="00993152">
        <w:rPr>
          <w:b/>
        </w:rPr>
        <w:t xml:space="preserve">Babybekleidung </w:t>
      </w:r>
      <w:r w:rsidRPr="00993152">
        <w:rPr>
          <w:i/>
          <w:sz w:val="20"/>
          <w:szCs w:val="20"/>
        </w:rPr>
        <w:t>(TB § 24 SGB II -42)</w:t>
      </w:r>
      <w:r w:rsidRPr="00993152">
        <w:rPr>
          <w:b/>
        </w:rPr>
        <w:t xml:space="preserve"> </w:t>
      </w:r>
      <w:r w:rsidRPr="00993152">
        <w:t xml:space="preserve">als auch die Erstausstattung mit den notwendigen </w:t>
      </w:r>
      <w:r w:rsidRPr="00993152">
        <w:rPr>
          <w:b/>
        </w:rPr>
        <w:t xml:space="preserve">Möbel und Gegenständen </w:t>
      </w:r>
      <w:r w:rsidRPr="00993152">
        <w:rPr>
          <w:i/>
          <w:sz w:val="20"/>
          <w:szCs w:val="20"/>
        </w:rPr>
        <w:t>(TB § 24 SGB II -14)</w:t>
      </w:r>
      <w:r w:rsidRPr="00993152">
        <w:t xml:space="preserve"> für das Baby in den ersten Lebensmonaten.</w:t>
      </w:r>
    </w:p>
    <w:p w:rsidR="001A68E6" w:rsidRPr="00993152" w:rsidRDefault="001A68E6" w:rsidP="00C04801">
      <w:pPr>
        <w:jc w:val="both"/>
      </w:pPr>
    </w:p>
    <w:p w:rsidR="001A68E6" w:rsidRPr="00993152" w:rsidRDefault="001A68E6" w:rsidP="00C04801">
      <w:pPr>
        <w:jc w:val="both"/>
      </w:pPr>
      <w:r w:rsidRPr="00993152">
        <w:t xml:space="preserve">Sind noch </w:t>
      </w:r>
      <w:r w:rsidR="009E7956" w:rsidRPr="00993152">
        <w:t xml:space="preserve">Babybekleidung, Möbel und </w:t>
      </w:r>
      <w:r w:rsidRPr="00993152">
        <w:t>Gegenstände von älteren Geschwisterkinder vorhanden soll auf diese zurückgegriffen werden.</w:t>
      </w:r>
    </w:p>
    <w:p w:rsidR="001A68E6" w:rsidRPr="00993152" w:rsidRDefault="001A68E6" w:rsidP="00C04801">
      <w:pPr>
        <w:jc w:val="both"/>
      </w:pPr>
    </w:p>
    <w:p w:rsidR="001A68E6" w:rsidRPr="00993152" w:rsidRDefault="001A68E6" w:rsidP="00C04801">
      <w:pPr>
        <w:jc w:val="both"/>
      </w:pPr>
      <w:r w:rsidRPr="00993152">
        <w:t xml:space="preserve">Der Pauschalbetrag für </w:t>
      </w:r>
      <w:r w:rsidRPr="00993152">
        <w:rPr>
          <w:b/>
        </w:rPr>
        <w:t>Bekleidung</w:t>
      </w:r>
      <w:r w:rsidRPr="00993152">
        <w:t xml:space="preserve"> an Babyerstausstattung beträgt im Jobcenter Passau Land </w:t>
      </w:r>
      <w:r w:rsidRPr="00993152">
        <w:rPr>
          <w:b/>
        </w:rPr>
        <w:t>164,00</w:t>
      </w:r>
      <w:r w:rsidRPr="00993152">
        <w:t xml:space="preserve"> EUR.</w:t>
      </w:r>
    </w:p>
    <w:p w:rsidR="009E7956" w:rsidRPr="00993152" w:rsidRDefault="009E7956" w:rsidP="00C04801">
      <w:pPr>
        <w:jc w:val="both"/>
      </w:pPr>
    </w:p>
    <w:p w:rsidR="009E7956" w:rsidRPr="00993152" w:rsidRDefault="009E7956" w:rsidP="009E7956">
      <w:pPr>
        <w:jc w:val="both"/>
      </w:pPr>
      <w:r w:rsidRPr="00993152">
        <w:t xml:space="preserve">Die Auszahlung von Erstausstattungen für </w:t>
      </w:r>
      <w:r w:rsidRPr="00993152">
        <w:rPr>
          <w:b/>
        </w:rPr>
        <w:t>Möbel und sonstige Gegenstände</w:t>
      </w:r>
      <w:r w:rsidRPr="00993152">
        <w:t xml:space="preserve"> erfolgt im Jobcenter Passau Land grundsätzlich  ca. 9 - 8 Wochen vor dem bescheinigten Geburtstermin.</w:t>
      </w:r>
    </w:p>
    <w:p w:rsidR="00B75CE8" w:rsidRPr="00993152" w:rsidRDefault="00B75CE8" w:rsidP="00C04801">
      <w:pPr>
        <w:jc w:val="both"/>
      </w:pPr>
    </w:p>
    <w:p w:rsidR="001A68E6" w:rsidRPr="00993152" w:rsidRDefault="001A68E6" w:rsidP="00C04801">
      <w:pPr>
        <w:jc w:val="both"/>
      </w:pPr>
      <w:r w:rsidRPr="00993152">
        <w:t>Die Pauschalbeträge</w:t>
      </w:r>
      <w:r w:rsidR="00D21328" w:rsidRPr="00993152">
        <w:t xml:space="preserve"> bzw. Richtwerte</w:t>
      </w:r>
      <w:r w:rsidRPr="00993152">
        <w:t xml:space="preserve"> für Erstausstattung bei Geburt für </w:t>
      </w:r>
      <w:r w:rsidRPr="00993152">
        <w:rPr>
          <w:b/>
        </w:rPr>
        <w:t xml:space="preserve">Möbel und sonstige Gegenstände </w:t>
      </w:r>
      <w:r w:rsidRPr="00993152">
        <w:t>betragen:</w:t>
      </w:r>
    </w:p>
    <w:p w:rsidR="001A68E6" w:rsidRPr="00993152" w:rsidRDefault="001A68E6" w:rsidP="00C04801">
      <w:pPr>
        <w:jc w:val="both"/>
      </w:pPr>
    </w:p>
    <w:p w:rsidR="001A68E6" w:rsidRPr="00993152" w:rsidRDefault="001A68E6" w:rsidP="00C04801">
      <w:pPr>
        <w:jc w:val="both"/>
      </w:pPr>
      <w:r w:rsidRPr="00993152">
        <w:t xml:space="preserve"> </w:t>
      </w: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0"/>
        <w:gridCol w:w="280"/>
        <w:gridCol w:w="1320"/>
      </w:tblGrid>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Kinderzimmerschrank</w:t>
            </w:r>
          </w:p>
        </w:tc>
        <w:tc>
          <w:tcPr>
            <w:tcW w:w="280" w:type="dxa"/>
            <w:shd w:val="clear" w:color="auto" w:fill="auto"/>
            <w:noWrap/>
            <w:vAlign w:val="bottom"/>
            <w:hideMark/>
          </w:tcPr>
          <w:p w:rsidR="001A68E6" w:rsidRPr="00993152" w:rsidRDefault="001A68E6" w:rsidP="001A68E6">
            <w:pPr>
              <w:rPr>
                <w:rFonts w:eastAsia="Times New Roman" w:cs="Arial"/>
                <w:sz w:val="20"/>
                <w:szCs w:val="20"/>
                <w:lang w:eastAsia="de-DE"/>
              </w:rPr>
            </w:pPr>
            <w:r w:rsidRPr="00993152">
              <w:rPr>
                <w:rFonts w:eastAsia="Times New Roman" w:cs="Arial"/>
                <w:sz w:val="20"/>
                <w:szCs w:val="20"/>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70,00 €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Kinderbett m. Lattenrost (70 x 140)</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70,00 €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Kinderbettmatratze (70 x 140)</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55,00 €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Kinderoberbett (neu)</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35,00 €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Kinderkopfkissen (neu)</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10,00 €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Kinderbettbezuggarnitur a 15,00</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30,00 €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Kinderbettspannbettuch a 5,00</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10,00 €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Laufstall (gebraucht)</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20,00 € </w:t>
            </w:r>
          </w:p>
        </w:tc>
      </w:tr>
      <w:tr w:rsidR="00993152" w:rsidRPr="00993152" w:rsidTr="001A68E6">
        <w:trPr>
          <w:trHeight w:val="285"/>
        </w:trPr>
        <w:tc>
          <w:tcPr>
            <w:tcW w:w="7680" w:type="dxa"/>
            <w:shd w:val="clear" w:color="auto" w:fill="auto"/>
            <w:noWrap/>
            <w:vAlign w:val="bottom"/>
            <w:hideMark/>
          </w:tcPr>
          <w:p w:rsidR="001A68E6" w:rsidRPr="00993152" w:rsidRDefault="001A68E6" w:rsidP="00D21328">
            <w:pPr>
              <w:jc w:val="center"/>
              <w:rPr>
                <w:rFonts w:eastAsia="Times New Roman" w:cs="Arial"/>
                <w:sz w:val="20"/>
                <w:szCs w:val="20"/>
                <w:lang w:eastAsia="de-DE"/>
              </w:rPr>
            </w:pPr>
            <w:r w:rsidRPr="00993152">
              <w:rPr>
                <w:rFonts w:eastAsia="Times New Roman" w:cs="Arial"/>
                <w:sz w:val="20"/>
                <w:szCs w:val="20"/>
                <w:lang w:eastAsia="de-DE"/>
              </w:rPr>
              <w:t>Hochsitz (gebraucht)</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20,00 €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Kinderwagen (gebraucht) für 1 Kind</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75,00 €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Zwillingskinderwagen max.</w:t>
            </w:r>
            <w:r w:rsidR="00FF5AC5" w:rsidRPr="00993152">
              <w:rPr>
                <w:rFonts w:eastAsia="Times New Roman" w:cs="Arial"/>
                <w:sz w:val="20"/>
                <w:szCs w:val="20"/>
                <w:lang w:eastAsia="de-DE"/>
              </w:rPr>
              <w:t xml:space="preserve"> bei Neuware falls keine gebrauchte Ware greifbar</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480,00 €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Drillingskinderwagen max</w:t>
            </w:r>
            <w:r w:rsidR="00D21328" w:rsidRPr="00993152">
              <w:rPr>
                <w:rFonts w:eastAsia="Times New Roman" w:cs="Arial"/>
                <w:sz w:val="20"/>
                <w:szCs w:val="20"/>
                <w:lang w:eastAsia="de-DE"/>
              </w:rPr>
              <w:t>. bei Neuware</w:t>
            </w:r>
            <w:r w:rsidR="00FF5AC5" w:rsidRPr="00993152">
              <w:rPr>
                <w:rFonts w:eastAsia="Times New Roman" w:cs="Arial"/>
                <w:sz w:val="20"/>
                <w:szCs w:val="20"/>
                <w:lang w:eastAsia="de-DE"/>
              </w:rPr>
              <w:t xml:space="preserve"> falls keine gebrauchte Ware greifbar</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FF5AC5">
            <w:pPr>
              <w:rPr>
                <w:rFonts w:eastAsia="Times New Roman" w:cs="Arial"/>
                <w:b/>
                <w:bCs/>
                <w:sz w:val="20"/>
                <w:szCs w:val="20"/>
                <w:lang w:eastAsia="de-DE"/>
              </w:rPr>
            </w:pPr>
            <w:r w:rsidRPr="00993152">
              <w:rPr>
                <w:rFonts w:eastAsia="Times New Roman" w:cs="Arial"/>
                <w:b/>
                <w:bCs/>
                <w:sz w:val="20"/>
                <w:szCs w:val="20"/>
                <w:lang w:eastAsia="de-DE"/>
              </w:rPr>
              <w:t xml:space="preserve">    1.</w:t>
            </w:r>
            <w:r w:rsidR="00FF5AC5" w:rsidRPr="00993152">
              <w:rPr>
                <w:rFonts w:eastAsia="Times New Roman" w:cs="Arial"/>
                <w:b/>
                <w:bCs/>
                <w:sz w:val="20"/>
                <w:szCs w:val="20"/>
                <w:lang w:eastAsia="de-DE"/>
              </w:rPr>
              <w:t>4</w:t>
            </w:r>
            <w:r w:rsidRPr="00993152">
              <w:rPr>
                <w:rFonts w:eastAsia="Times New Roman" w:cs="Arial"/>
                <w:b/>
                <w:bCs/>
                <w:sz w:val="20"/>
                <w:szCs w:val="20"/>
                <w:lang w:eastAsia="de-DE"/>
              </w:rPr>
              <w:t xml:space="preserve">00,00 €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Buggy (gebraucht)</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30,00 € </w:t>
            </w:r>
          </w:p>
        </w:tc>
      </w:tr>
      <w:tr w:rsidR="00993152" w:rsidRPr="00993152" w:rsidTr="001A68E6">
        <w:trPr>
          <w:trHeight w:val="285"/>
        </w:trPr>
        <w:tc>
          <w:tcPr>
            <w:tcW w:w="7680" w:type="dxa"/>
            <w:shd w:val="clear" w:color="auto" w:fill="auto"/>
            <w:noWrap/>
            <w:vAlign w:val="bottom"/>
            <w:hideMark/>
          </w:tcPr>
          <w:p w:rsidR="001A68E6" w:rsidRPr="00993152" w:rsidRDefault="001A68E6" w:rsidP="001A68E6">
            <w:pPr>
              <w:jc w:val="center"/>
              <w:rPr>
                <w:rFonts w:eastAsia="Times New Roman" w:cs="Arial"/>
                <w:sz w:val="20"/>
                <w:szCs w:val="20"/>
                <w:lang w:eastAsia="de-DE"/>
              </w:rPr>
            </w:pPr>
            <w:r w:rsidRPr="00993152">
              <w:rPr>
                <w:rFonts w:eastAsia="Times New Roman" w:cs="Arial"/>
                <w:sz w:val="20"/>
                <w:szCs w:val="20"/>
                <w:lang w:eastAsia="de-DE"/>
              </w:rPr>
              <w:t>Autokindersitz (gebraucht)</w:t>
            </w:r>
          </w:p>
        </w:tc>
        <w:tc>
          <w:tcPr>
            <w:tcW w:w="280" w:type="dxa"/>
            <w:shd w:val="clear" w:color="auto" w:fill="auto"/>
            <w:noWrap/>
            <w:vAlign w:val="bottom"/>
            <w:hideMark/>
          </w:tcPr>
          <w:p w:rsidR="001A68E6" w:rsidRPr="00993152" w:rsidRDefault="001A68E6" w:rsidP="001A68E6">
            <w:pPr>
              <w:rPr>
                <w:rFonts w:eastAsia="Times New Roman" w:cs="Arial"/>
                <w:lang w:eastAsia="de-DE"/>
              </w:rPr>
            </w:pPr>
            <w:r w:rsidRPr="00993152">
              <w:rPr>
                <w:rFonts w:eastAsia="Times New Roman" w:cs="Arial"/>
                <w:lang w:eastAsia="de-DE"/>
              </w:rPr>
              <w:t> </w:t>
            </w:r>
          </w:p>
        </w:tc>
        <w:tc>
          <w:tcPr>
            <w:tcW w:w="1320" w:type="dxa"/>
            <w:shd w:val="clear" w:color="auto" w:fill="auto"/>
            <w:noWrap/>
            <w:vAlign w:val="bottom"/>
            <w:hideMark/>
          </w:tcPr>
          <w:p w:rsidR="001A68E6" w:rsidRPr="00993152" w:rsidRDefault="001A68E6" w:rsidP="001A68E6">
            <w:pPr>
              <w:rPr>
                <w:rFonts w:eastAsia="Times New Roman" w:cs="Arial"/>
                <w:b/>
                <w:bCs/>
                <w:sz w:val="20"/>
                <w:szCs w:val="20"/>
                <w:lang w:eastAsia="de-DE"/>
              </w:rPr>
            </w:pPr>
            <w:r w:rsidRPr="00993152">
              <w:rPr>
                <w:rFonts w:eastAsia="Times New Roman" w:cs="Arial"/>
                <w:b/>
                <w:bCs/>
                <w:sz w:val="20"/>
                <w:szCs w:val="20"/>
                <w:lang w:eastAsia="de-DE"/>
              </w:rPr>
              <w:t xml:space="preserve">         40,00 € </w:t>
            </w:r>
          </w:p>
        </w:tc>
      </w:tr>
    </w:tbl>
    <w:p w:rsidR="001D2AF9" w:rsidRDefault="001D2AF9" w:rsidP="00C04801">
      <w:pPr>
        <w:jc w:val="both"/>
      </w:pPr>
    </w:p>
    <w:p w:rsidR="009A162A" w:rsidRDefault="009A162A" w:rsidP="009A4D18">
      <w:pPr>
        <w:ind w:left="360"/>
        <w:jc w:val="both"/>
        <w:rPr>
          <w:b/>
          <w:sz w:val="24"/>
          <w:szCs w:val="24"/>
        </w:rPr>
      </w:pPr>
    </w:p>
    <w:p w:rsidR="00C810D5" w:rsidRDefault="00C810D5" w:rsidP="009A4D18">
      <w:pPr>
        <w:ind w:left="360"/>
        <w:jc w:val="both"/>
        <w:rPr>
          <w:b/>
          <w:sz w:val="24"/>
          <w:szCs w:val="24"/>
        </w:rPr>
      </w:pPr>
    </w:p>
    <w:p w:rsidR="006F7135" w:rsidRDefault="006F7135" w:rsidP="009047AD">
      <w:pPr>
        <w:jc w:val="both"/>
        <w:rPr>
          <w:b/>
          <w:sz w:val="24"/>
          <w:szCs w:val="24"/>
        </w:rPr>
      </w:pPr>
    </w:p>
    <w:p w:rsidR="00476054" w:rsidRPr="00993152" w:rsidRDefault="00D740B0" w:rsidP="00EF33D3">
      <w:pPr>
        <w:pStyle w:val="berschrift1"/>
      </w:pPr>
      <w:r w:rsidRPr="00993152">
        <w:t>Bedarfe für Bildung und Teilhabe nach § 28 SGB II</w:t>
      </w:r>
    </w:p>
    <w:p w:rsidR="00E53DE0" w:rsidRPr="00993152" w:rsidRDefault="00E53DE0" w:rsidP="00E53DE0">
      <w:pPr>
        <w:jc w:val="both"/>
        <w:rPr>
          <w:b/>
          <w:sz w:val="24"/>
          <w:szCs w:val="24"/>
        </w:rPr>
      </w:pPr>
    </w:p>
    <w:p w:rsidR="00C70AF8" w:rsidRPr="00993152" w:rsidRDefault="00C70AF8" w:rsidP="00E53DE0">
      <w:pPr>
        <w:jc w:val="both"/>
        <w:rPr>
          <w:b/>
          <w:sz w:val="24"/>
          <w:szCs w:val="24"/>
        </w:rPr>
      </w:pPr>
    </w:p>
    <w:p w:rsidR="00E53DE0" w:rsidRPr="002D06B2" w:rsidRDefault="00E53DE0" w:rsidP="00E5033E">
      <w:pPr>
        <w:pStyle w:val="berschrift1"/>
        <w:numPr>
          <w:ilvl w:val="0"/>
          <w:numId w:val="22"/>
        </w:numPr>
        <w:ind w:left="426" w:hanging="426"/>
        <w:rPr>
          <w:color w:val="00B050"/>
          <w:sz w:val="24"/>
          <w:szCs w:val="24"/>
        </w:rPr>
      </w:pPr>
      <w:r w:rsidRPr="002D06B2">
        <w:rPr>
          <w:color w:val="00B050"/>
          <w:sz w:val="24"/>
          <w:szCs w:val="24"/>
        </w:rPr>
        <w:t>Allgemeines</w:t>
      </w:r>
    </w:p>
    <w:p w:rsidR="00294C30" w:rsidRPr="00993152" w:rsidRDefault="00294C30" w:rsidP="00294C30">
      <w:pPr>
        <w:jc w:val="both"/>
        <w:rPr>
          <w:b/>
        </w:rPr>
      </w:pPr>
    </w:p>
    <w:p w:rsidR="00BE10A3" w:rsidRPr="00993152" w:rsidRDefault="007423AD" w:rsidP="00294C30">
      <w:pPr>
        <w:jc w:val="both"/>
      </w:pPr>
      <w:r w:rsidRPr="00993152">
        <w:t>Das Jobcenter Passau Land ist für die Bearbeitung der BuT</w:t>
      </w:r>
      <w:r w:rsidR="00141218" w:rsidRPr="00993152">
        <w:t>-</w:t>
      </w:r>
      <w:r w:rsidRPr="00993152">
        <w:t xml:space="preserve"> Leistungen im Landkreis </w:t>
      </w:r>
      <w:r w:rsidR="00141218" w:rsidRPr="00993152">
        <w:t xml:space="preserve">Passau </w:t>
      </w:r>
      <w:r w:rsidR="001C733C" w:rsidRPr="00993152">
        <w:t>für bedürftige</w:t>
      </w:r>
      <w:r w:rsidRPr="00993152">
        <w:t xml:space="preserve"> Personen  b</w:t>
      </w:r>
      <w:r w:rsidR="00141218" w:rsidRPr="00993152">
        <w:t>is</w:t>
      </w:r>
      <w:r w:rsidRPr="00993152">
        <w:t xml:space="preserve"> 25 Jahren zuständig</w:t>
      </w:r>
      <w:r w:rsidR="00BE10A3" w:rsidRPr="00993152">
        <w:t>.</w:t>
      </w:r>
    </w:p>
    <w:p w:rsidR="007423AD" w:rsidRPr="00993152" w:rsidRDefault="007423AD" w:rsidP="00294C30">
      <w:pPr>
        <w:jc w:val="both"/>
      </w:pPr>
    </w:p>
    <w:p w:rsidR="00694C10" w:rsidRPr="00993152" w:rsidRDefault="007423AD" w:rsidP="0000283E">
      <w:pPr>
        <w:jc w:val="both"/>
      </w:pPr>
      <w:r w:rsidRPr="00993152">
        <w:t xml:space="preserve">Die Leistungen können </w:t>
      </w:r>
      <w:r w:rsidR="0000283E" w:rsidRPr="00993152">
        <w:t>die genannten</w:t>
      </w:r>
      <w:r w:rsidRPr="00993152">
        <w:t xml:space="preserve"> Personen </w:t>
      </w:r>
      <w:r w:rsidR="0000283E" w:rsidRPr="00993152">
        <w:t xml:space="preserve">auch </w:t>
      </w:r>
      <w:r w:rsidRPr="00993152">
        <w:t xml:space="preserve">erhalten, </w:t>
      </w:r>
      <w:r w:rsidR="0000283E" w:rsidRPr="00993152">
        <w:t>wen</w:t>
      </w:r>
      <w:r w:rsidR="0041270A" w:rsidRPr="00993152">
        <w:t>n</w:t>
      </w:r>
      <w:r w:rsidR="0000283E" w:rsidRPr="00993152">
        <w:t xml:space="preserve"> sie</w:t>
      </w:r>
      <w:r w:rsidRPr="00993152">
        <w:t xml:space="preserve"> keine laufenden SGB II Leistungen beziehen </w:t>
      </w:r>
      <w:r w:rsidR="0000283E" w:rsidRPr="00993152">
        <w:t xml:space="preserve">und </w:t>
      </w:r>
      <w:r w:rsidR="00C71FE6" w:rsidRPr="00993152">
        <w:t>der Bedarf nach § 28  SGB II nicht oder nicht vollständig gedeckt ist</w:t>
      </w:r>
      <w:r w:rsidR="0000283E" w:rsidRPr="00993152">
        <w:t xml:space="preserve"> (§ 9 Abs. 2 Satz 3 SGB II).</w:t>
      </w:r>
    </w:p>
    <w:p w:rsidR="0041270A" w:rsidRPr="00993152" w:rsidRDefault="0041270A" w:rsidP="0000283E">
      <w:pPr>
        <w:jc w:val="both"/>
      </w:pPr>
    </w:p>
    <w:p w:rsidR="0041270A" w:rsidRPr="00993152" w:rsidRDefault="0041270A" w:rsidP="0000283E">
      <w:pPr>
        <w:jc w:val="both"/>
      </w:pPr>
      <w:r w:rsidRPr="00993152">
        <w:t xml:space="preserve">Sind mehrere Personen nur im Umfang der BuT-Leistungen leistungsberechtigt, wird das übersteigende Einkommen </w:t>
      </w:r>
      <w:r w:rsidRPr="00993152">
        <w:rPr>
          <w:u w:val="single"/>
        </w:rPr>
        <w:t>kopfteilig</w:t>
      </w:r>
      <w:r w:rsidRPr="00993152">
        <w:t xml:space="preserve"> bei jeder Person berücksichtigt, für die BuT-Leistungen beantragt sind (§ 9 Abs. 2 Satz 4 SGB II). </w:t>
      </w:r>
    </w:p>
    <w:p w:rsidR="0000283E" w:rsidRPr="00993152" w:rsidRDefault="0000283E" w:rsidP="0000283E">
      <w:pPr>
        <w:jc w:val="both"/>
      </w:pPr>
    </w:p>
    <w:p w:rsidR="0000283E" w:rsidRPr="00993152" w:rsidRDefault="0000283E" w:rsidP="0000283E">
      <w:pPr>
        <w:jc w:val="both"/>
      </w:pPr>
      <w:r w:rsidRPr="00993152">
        <w:t>Bu</w:t>
      </w:r>
      <w:r w:rsidR="001C733C" w:rsidRPr="00993152">
        <w:t xml:space="preserve">T - </w:t>
      </w:r>
      <w:r w:rsidRPr="00993152">
        <w:t xml:space="preserve">Leistungen können auch dann gewährt werden, wenn keine volljährigen Personen (Eltern) der BG angehören, weil diese ausreichend Einkommen oder Vermögen haben (§ 7 Abs. 2 Satz 3 SGB II).  </w:t>
      </w:r>
    </w:p>
    <w:p w:rsidR="00BE10A3" w:rsidRPr="00993152" w:rsidRDefault="00BE10A3" w:rsidP="0000283E">
      <w:pPr>
        <w:jc w:val="both"/>
      </w:pPr>
    </w:p>
    <w:p w:rsidR="00BE10A3" w:rsidRPr="00993152" w:rsidRDefault="00BE10A3" w:rsidP="00BE10A3">
      <w:pPr>
        <w:jc w:val="both"/>
      </w:pPr>
      <w:r w:rsidRPr="00993152">
        <w:t xml:space="preserve">Personen, die  </w:t>
      </w:r>
      <w:r w:rsidR="001C733C" w:rsidRPr="00993152">
        <w:rPr>
          <w:b/>
        </w:rPr>
        <w:t>Wohngeld</w:t>
      </w:r>
      <w:r w:rsidR="001C733C" w:rsidRPr="00993152">
        <w:t xml:space="preserve"> nach den Wohngeldgesetz</w:t>
      </w:r>
      <w:r w:rsidRPr="00993152">
        <w:t xml:space="preserve"> und/oder </w:t>
      </w:r>
      <w:r w:rsidRPr="00993152">
        <w:rPr>
          <w:b/>
        </w:rPr>
        <w:t>Kinderzuschlag</w:t>
      </w:r>
      <w:r w:rsidR="001C733C" w:rsidRPr="00993152">
        <w:rPr>
          <w:b/>
        </w:rPr>
        <w:t xml:space="preserve"> </w:t>
      </w:r>
      <w:r w:rsidR="001C733C" w:rsidRPr="00993152">
        <w:t>nach dem Bundeskindergeldgesetz</w:t>
      </w:r>
      <w:r w:rsidRPr="00993152">
        <w:t xml:space="preserve"> erhalten oder  auf Grund einer dauerhaften vollen Erwerbsminderung Anspruch auf Leistungen nach dem </w:t>
      </w:r>
      <w:r w:rsidRPr="00993152">
        <w:rPr>
          <w:b/>
        </w:rPr>
        <w:t>4. Kapitel des SGB XII</w:t>
      </w:r>
      <w:r w:rsidRPr="00993152">
        <w:t xml:space="preserve"> haben </w:t>
      </w:r>
      <w:r w:rsidRPr="00993152">
        <w:br/>
        <w:t>können keine Leistungen vom Jobcenter erhalten (vgl. § 19 Abs. 2 SGB II).</w:t>
      </w:r>
    </w:p>
    <w:p w:rsidR="009A6259" w:rsidRPr="00993152" w:rsidRDefault="009A6259" w:rsidP="00BE10A3">
      <w:pPr>
        <w:jc w:val="both"/>
      </w:pPr>
    </w:p>
    <w:p w:rsidR="004F3F81" w:rsidRPr="009A1B64" w:rsidRDefault="00BE10A3" w:rsidP="0000283E">
      <w:pPr>
        <w:jc w:val="both"/>
        <w:rPr>
          <w:color w:val="00B050"/>
        </w:rPr>
      </w:pPr>
      <w:r w:rsidRPr="009A1B64">
        <w:rPr>
          <w:color w:val="00B050"/>
        </w:rPr>
        <w:t xml:space="preserve">Auch Personen, die </w:t>
      </w:r>
      <w:r w:rsidRPr="009A1B64">
        <w:rPr>
          <w:b/>
          <w:color w:val="00B050"/>
        </w:rPr>
        <w:t>BAB, Ausbildungsgeld nach dem SGB III</w:t>
      </w:r>
      <w:r w:rsidRPr="009A1B64">
        <w:rPr>
          <w:color w:val="00B050"/>
        </w:rPr>
        <w:t xml:space="preserve"> oder </w:t>
      </w:r>
      <w:r w:rsidRPr="009A1B64">
        <w:rPr>
          <w:b/>
          <w:color w:val="00B050"/>
        </w:rPr>
        <w:t>BAföG</w:t>
      </w:r>
      <w:r w:rsidRPr="009A1B64">
        <w:rPr>
          <w:color w:val="00B050"/>
        </w:rPr>
        <w:t xml:space="preserve"> erhalten</w:t>
      </w:r>
      <w:r w:rsidR="009A1B64" w:rsidRPr="009A1B64">
        <w:rPr>
          <w:color w:val="00B050"/>
        </w:rPr>
        <w:t xml:space="preserve"> und Anspruch auf ALG II oder Sozialgeld haben</w:t>
      </w:r>
      <w:r w:rsidRPr="009A1B64">
        <w:rPr>
          <w:color w:val="00B050"/>
        </w:rPr>
        <w:t>, können</w:t>
      </w:r>
      <w:r w:rsidR="009A1B64" w:rsidRPr="009A1B64">
        <w:rPr>
          <w:color w:val="00B050"/>
        </w:rPr>
        <w:t xml:space="preserve"> nun </w:t>
      </w:r>
      <w:r w:rsidR="009A1B64" w:rsidRPr="009A1B64">
        <w:rPr>
          <w:b/>
          <w:color w:val="00B050"/>
        </w:rPr>
        <w:t>ab 01.08.2016</w:t>
      </w:r>
      <w:r w:rsidRPr="009A1B64">
        <w:rPr>
          <w:color w:val="00B050"/>
        </w:rPr>
        <w:t xml:space="preserve"> Leistungen für Bildung und Teilhabe nach dem SGB II bekommen</w:t>
      </w:r>
      <w:r w:rsidR="009A1B64" w:rsidRPr="009A1B64">
        <w:rPr>
          <w:color w:val="00B050"/>
        </w:rPr>
        <w:t>,</w:t>
      </w:r>
      <w:r w:rsidRPr="009A1B64">
        <w:rPr>
          <w:color w:val="00B050"/>
        </w:rPr>
        <w:t xml:space="preserve"> weil  § 28 </w:t>
      </w:r>
      <w:r w:rsidR="009A1B64" w:rsidRPr="009A1B64">
        <w:rPr>
          <w:color w:val="00B050"/>
        </w:rPr>
        <w:t>nun</w:t>
      </w:r>
      <w:r w:rsidR="004F3F81" w:rsidRPr="009A1B64">
        <w:rPr>
          <w:color w:val="00B050"/>
        </w:rPr>
        <w:t xml:space="preserve"> </w:t>
      </w:r>
      <w:r w:rsidRPr="009A1B64">
        <w:rPr>
          <w:color w:val="00B050"/>
        </w:rPr>
        <w:t>in § 27</w:t>
      </w:r>
      <w:r w:rsidR="009A1B64" w:rsidRPr="009A1B64">
        <w:rPr>
          <w:color w:val="00B050"/>
        </w:rPr>
        <w:t xml:space="preserve"> Abs. 3</w:t>
      </w:r>
      <w:r w:rsidRPr="009A1B64">
        <w:rPr>
          <w:color w:val="00B050"/>
        </w:rPr>
        <w:t xml:space="preserve"> SGB II aufgeführt ist.</w:t>
      </w:r>
    </w:p>
    <w:p w:rsidR="004F3F81" w:rsidRPr="00E01D59" w:rsidRDefault="004F3F81" w:rsidP="0000283E">
      <w:pPr>
        <w:jc w:val="both"/>
      </w:pPr>
    </w:p>
    <w:p w:rsidR="007423AD" w:rsidRPr="00993152" w:rsidRDefault="001C733C" w:rsidP="00294C30">
      <w:pPr>
        <w:jc w:val="both"/>
        <w:rPr>
          <w:b/>
        </w:rPr>
      </w:pPr>
      <w:r w:rsidRPr="00993152">
        <w:t>Unabhängig davon</w:t>
      </w:r>
      <w:r w:rsidR="003A46D9" w:rsidRPr="00993152">
        <w:t xml:space="preserve"> sind</w:t>
      </w:r>
      <w:r w:rsidR="003A46D9" w:rsidRPr="00993152">
        <w:rPr>
          <w:b/>
        </w:rPr>
        <w:t xml:space="preserve"> </w:t>
      </w:r>
      <w:r w:rsidR="0000283E" w:rsidRPr="00993152">
        <w:rPr>
          <w:b/>
        </w:rPr>
        <w:t xml:space="preserve"> </w:t>
      </w:r>
      <w:r w:rsidR="003A46D9" w:rsidRPr="00993152">
        <w:t>Schüler</w:t>
      </w:r>
      <w:r w:rsidRPr="00993152">
        <w:t>innen und Schüler</w:t>
      </w:r>
      <w:r w:rsidR="003A46D9" w:rsidRPr="00993152">
        <w:t xml:space="preserve">, die eine </w:t>
      </w:r>
      <w:r w:rsidR="003A46D9" w:rsidRPr="00993152">
        <w:rPr>
          <w:b/>
        </w:rPr>
        <w:t>Ausbildungsvergütung</w:t>
      </w:r>
      <w:r w:rsidR="003A46D9" w:rsidRPr="00993152">
        <w:t xml:space="preserve"> erhalten,  von </w:t>
      </w:r>
      <w:r w:rsidRPr="00993152">
        <w:t>den BuT -</w:t>
      </w:r>
      <w:r w:rsidR="003A46D9" w:rsidRPr="00993152">
        <w:t xml:space="preserve"> Leistung</w:t>
      </w:r>
      <w:r w:rsidRPr="00993152">
        <w:t>en</w:t>
      </w:r>
      <w:r w:rsidR="003A46D9" w:rsidRPr="00993152">
        <w:t xml:space="preserve"> ausgeschlossen (§ 28 Abs.1 Satz 2 SGB II).</w:t>
      </w:r>
    </w:p>
    <w:p w:rsidR="003A716F" w:rsidRPr="00993152" w:rsidRDefault="003A716F" w:rsidP="005167F3">
      <w:pPr>
        <w:pStyle w:val="Listenabsatz"/>
        <w:ind w:left="0"/>
        <w:jc w:val="both"/>
      </w:pPr>
    </w:p>
    <w:p w:rsidR="00D879C8" w:rsidRDefault="00D879C8" w:rsidP="005167F3">
      <w:pPr>
        <w:pStyle w:val="Listenabsatz"/>
        <w:ind w:left="0"/>
        <w:jc w:val="both"/>
      </w:pPr>
    </w:p>
    <w:p w:rsidR="004B2EB4" w:rsidRDefault="004B2EB4" w:rsidP="005167F3">
      <w:pPr>
        <w:pStyle w:val="Listenabsatz"/>
        <w:ind w:left="0"/>
        <w:jc w:val="both"/>
      </w:pPr>
    </w:p>
    <w:p w:rsidR="001D2AF9" w:rsidRDefault="001D2AF9" w:rsidP="005167F3">
      <w:pPr>
        <w:pStyle w:val="Listenabsatz"/>
        <w:ind w:left="0"/>
        <w:jc w:val="both"/>
      </w:pPr>
    </w:p>
    <w:p w:rsidR="005167F3" w:rsidRPr="00E413FF" w:rsidRDefault="005167F3" w:rsidP="00EF33D3">
      <w:pPr>
        <w:pStyle w:val="berschrift2"/>
        <w:numPr>
          <w:ilvl w:val="0"/>
          <w:numId w:val="0"/>
        </w:numPr>
        <w:ind w:left="142"/>
        <w:rPr>
          <w:sz w:val="24"/>
          <w:szCs w:val="24"/>
        </w:rPr>
      </w:pPr>
      <w:r w:rsidRPr="00E413FF">
        <w:rPr>
          <w:sz w:val="24"/>
          <w:szCs w:val="24"/>
        </w:rPr>
        <w:t>1.</w:t>
      </w:r>
      <w:r w:rsidR="00042BF6" w:rsidRPr="00E413FF">
        <w:rPr>
          <w:sz w:val="24"/>
          <w:szCs w:val="24"/>
        </w:rPr>
        <w:t>1</w:t>
      </w:r>
      <w:r w:rsidRPr="00E413FF">
        <w:rPr>
          <w:sz w:val="24"/>
          <w:szCs w:val="24"/>
        </w:rPr>
        <w:t xml:space="preserve"> Antragstellung</w:t>
      </w:r>
    </w:p>
    <w:p w:rsidR="005167F3" w:rsidRPr="00993152" w:rsidRDefault="005167F3" w:rsidP="005167F3">
      <w:pPr>
        <w:pStyle w:val="Listenabsatz"/>
        <w:ind w:left="0"/>
        <w:contextualSpacing w:val="0"/>
        <w:jc w:val="both"/>
        <w:rPr>
          <w:b/>
          <w:u w:val="single"/>
        </w:rPr>
      </w:pPr>
    </w:p>
    <w:p w:rsidR="005167F3" w:rsidRDefault="005167F3" w:rsidP="005167F3">
      <w:pPr>
        <w:pStyle w:val="Listenabsatz"/>
        <w:ind w:left="0"/>
        <w:jc w:val="both"/>
      </w:pPr>
      <w:r w:rsidRPr="00993152">
        <w:t xml:space="preserve">Für alle Leistungen auf Bildung und Teilhabe (außer für den persönlichen Schulbedarf) ist für </w:t>
      </w:r>
      <w:r w:rsidRPr="00993152">
        <w:rPr>
          <w:b/>
        </w:rPr>
        <w:t>jedes Kind ein gesonderter Antrag</w:t>
      </w:r>
      <w:r w:rsidRPr="00993152">
        <w:t xml:space="preserve"> erforderlich</w:t>
      </w:r>
      <w:r w:rsidR="003A716F" w:rsidRPr="00993152">
        <w:t xml:space="preserve"> (§ 37 Abs. 1 SGB II)</w:t>
      </w:r>
      <w:r w:rsidRPr="00993152">
        <w:t xml:space="preserve">. </w:t>
      </w:r>
    </w:p>
    <w:p w:rsidR="004B2EB4" w:rsidRDefault="004B2EB4" w:rsidP="005167F3">
      <w:pPr>
        <w:pStyle w:val="Listenabsatz"/>
        <w:ind w:left="0"/>
        <w:jc w:val="both"/>
      </w:pPr>
    </w:p>
    <w:p w:rsidR="004B2EB4" w:rsidRPr="00993152" w:rsidRDefault="004B2EB4" w:rsidP="005167F3">
      <w:pPr>
        <w:pStyle w:val="Listenabsatz"/>
        <w:ind w:left="0"/>
        <w:jc w:val="both"/>
      </w:pPr>
    </w:p>
    <w:p w:rsidR="00426BE4" w:rsidRPr="00993152" w:rsidRDefault="00426BE4" w:rsidP="005167F3">
      <w:pPr>
        <w:pStyle w:val="Listenabsatz"/>
        <w:ind w:left="0"/>
        <w:jc w:val="both"/>
      </w:pPr>
    </w:p>
    <w:p w:rsidR="00426BE4" w:rsidRPr="00993152" w:rsidRDefault="00426BE4" w:rsidP="005167F3">
      <w:pPr>
        <w:pStyle w:val="Listenabsatz"/>
        <w:ind w:left="0"/>
        <w:jc w:val="both"/>
      </w:pPr>
      <w:r w:rsidRPr="00993152">
        <w:lastRenderedPageBreak/>
        <w:t>Der Antrag wirkt</w:t>
      </w:r>
      <w:r w:rsidR="008A4DAA" w:rsidRPr="00993152">
        <w:t xml:space="preserve"> für Leistungen nach § 28 Abs. 2 bis 6 SGB II </w:t>
      </w:r>
      <w:r w:rsidRPr="00993152">
        <w:t xml:space="preserve"> auf den 1. des Monats zurück</w:t>
      </w:r>
      <w:r w:rsidR="001C733C" w:rsidRPr="00993152">
        <w:t xml:space="preserve"> (§ 37 Abs. 2 Satz 2 SGB II)</w:t>
      </w:r>
      <w:r w:rsidRPr="00993152">
        <w:t>.</w:t>
      </w:r>
    </w:p>
    <w:p w:rsidR="008A4DAA" w:rsidRPr="00993152" w:rsidRDefault="008A4DAA" w:rsidP="005167F3">
      <w:pPr>
        <w:pStyle w:val="Listenabsatz"/>
        <w:ind w:left="0"/>
        <w:jc w:val="both"/>
      </w:pPr>
      <w:r w:rsidRPr="00993152">
        <w:t>Der Antrag auf Leistungen für die Bedarfe nach Abs. 7 wirkt, soweit daneben bereits Leistungen zur Sicherung des Lebensunterhalts erbracht werden, auf den Beginn des aktuellen Bewilligungszeitraums zurück (vgl. § 37 Abs. 2 Satz 3 SGBII).</w:t>
      </w:r>
    </w:p>
    <w:p w:rsidR="005167F3" w:rsidRPr="00993152" w:rsidRDefault="005167F3" w:rsidP="005167F3">
      <w:pPr>
        <w:pStyle w:val="Listenabsatz"/>
        <w:ind w:left="0"/>
        <w:jc w:val="both"/>
      </w:pPr>
    </w:p>
    <w:p w:rsidR="005167F3" w:rsidRPr="00993152" w:rsidRDefault="005167F3" w:rsidP="005167F3">
      <w:pPr>
        <w:pStyle w:val="Listenabsatz"/>
        <w:ind w:left="0"/>
        <w:jc w:val="both"/>
      </w:pPr>
      <w:r w:rsidRPr="00993152">
        <w:t>Der Antrag ist so zeitig und so konkret wie möglich zu stellen.</w:t>
      </w:r>
    </w:p>
    <w:p w:rsidR="0087598F" w:rsidRPr="00993152" w:rsidRDefault="0087598F" w:rsidP="005167F3">
      <w:pPr>
        <w:pStyle w:val="Listenabsatz"/>
        <w:ind w:left="0"/>
        <w:jc w:val="both"/>
      </w:pPr>
      <w:r w:rsidRPr="00993152">
        <w:t>Das Jobcenter Passau Land schließt sich der Rechtsauffassung des St</w:t>
      </w:r>
      <w:r w:rsidR="001C733C" w:rsidRPr="00993152">
        <w:t>MAS</w:t>
      </w:r>
      <w:r w:rsidRPr="00993152">
        <w:t xml:space="preserve"> Bayern im Schreiben vom </w:t>
      </w:r>
      <w:r w:rsidR="00A41230" w:rsidRPr="0012351F">
        <w:t>10.08.2015</w:t>
      </w:r>
      <w:r w:rsidR="001C733C" w:rsidRPr="0012351F">
        <w:t xml:space="preserve"> </w:t>
      </w:r>
      <w:r w:rsidR="001C733C" w:rsidRPr="00993152">
        <w:t xml:space="preserve">(Az. I3/6074.04-1/50) </w:t>
      </w:r>
      <w:r w:rsidRPr="00993152">
        <w:t xml:space="preserve"> an, wonach ein </w:t>
      </w:r>
      <w:r w:rsidR="0012351F">
        <w:t>un</w:t>
      </w:r>
      <w:r w:rsidR="0012351F" w:rsidRPr="00993152">
        <w:t>konkretisierter</w:t>
      </w:r>
      <w:r w:rsidRPr="00993152">
        <w:t xml:space="preserve"> Globalantrag </w:t>
      </w:r>
      <w:r w:rsidR="00496F23" w:rsidRPr="00993152">
        <w:t>auf</w:t>
      </w:r>
      <w:r w:rsidRPr="00993152">
        <w:t xml:space="preserve"> alle Leistungsarten unzulässig ist. </w:t>
      </w:r>
    </w:p>
    <w:p w:rsidR="00426BE4" w:rsidRPr="00993152" w:rsidRDefault="00426BE4" w:rsidP="005167F3">
      <w:pPr>
        <w:pStyle w:val="Listenabsatz"/>
        <w:ind w:left="0"/>
        <w:jc w:val="both"/>
      </w:pPr>
    </w:p>
    <w:p w:rsidR="00042BF6" w:rsidRPr="00993152" w:rsidRDefault="00B94DAE" w:rsidP="00EF33D3">
      <w:pPr>
        <w:pStyle w:val="berschrift2"/>
        <w:numPr>
          <w:ilvl w:val="0"/>
          <w:numId w:val="0"/>
        </w:numPr>
        <w:ind w:left="142"/>
        <w:rPr>
          <w:sz w:val="24"/>
          <w:szCs w:val="24"/>
        </w:rPr>
      </w:pPr>
      <w:r w:rsidRPr="00993152">
        <w:rPr>
          <w:sz w:val="24"/>
          <w:szCs w:val="24"/>
        </w:rPr>
        <w:t xml:space="preserve">1.2 </w:t>
      </w:r>
      <w:r w:rsidR="00042BF6" w:rsidRPr="00993152">
        <w:rPr>
          <w:sz w:val="24"/>
          <w:szCs w:val="24"/>
        </w:rPr>
        <w:t>Erbringung der Leistungen</w:t>
      </w:r>
    </w:p>
    <w:p w:rsidR="00042BF6" w:rsidRPr="00993152" w:rsidRDefault="00042BF6" w:rsidP="00042BF6">
      <w:pPr>
        <w:ind w:left="360"/>
        <w:jc w:val="both"/>
        <w:rPr>
          <w:b/>
        </w:rPr>
      </w:pPr>
      <w:r w:rsidRPr="00993152">
        <w:rPr>
          <w:b/>
        </w:rPr>
        <w:t xml:space="preserve"> </w:t>
      </w:r>
    </w:p>
    <w:p w:rsidR="00465F9F" w:rsidRPr="00993152" w:rsidRDefault="00042BF6" w:rsidP="00042BF6">
      <w:pPr>
        <w:pStyle w:val="Listenabsatz"/>
        <w:ind w:left="0"/>
        <w:jc w:val="both"/>
      </w:pPr>
      <w:r w:rsidRPr="00993152">
        <w:t>Die Leistungen werden, mit Ausnahme des Schulbedarfes und der Kosten für die Schülerbeförderung</w:t>
      </w:r>
      <w:r w:rsidR="001C733C" w:rsidRPr="00993152">
        <w:t xml:space="preserve"> (vgl. § 29 Abs. 1 Satz 2 SGB II)</w:t>
      </w:r>
      <w:r w:rsidRPr="00993152">
        <w:t>,</w:t>
      </w:r>
      <w:r w:rsidR="007E4A8E" w:rsidRPr="00993152">
        <w:t xml:space="preserve"> insbesondere in Form von  Direktzahlungen</w:t>
      </w:r>
      <w:r w:rsidR="004F1050">
        <w:t xml:space="preserve"> (in Ausnahmefälle von Gutscheinen)</w:t>
      </w:r>
      <w:r w:rsidR="007E4A8E" w:rsidRPr="00993152">
        <w:t xml:space="preserve"> an den Anbieter</w:t>
      </w:r>
      <w:r w:rsidRPr="00993152">
        <w:t xml:space="preserve"> erbracht.</w:t>
      </w:r>
    </w:p>
    <w:p w:rsidR="00465F9F" w:rsidRPr="00993152" w:rsidRDefault="00465F9F" w:rsidP="00042BF6">
      <w:pPr>
        <w:pStyle w:val="Listenabsatz"/>
        <w:ind w:left="0"/>
        <w:jc w:val="both"/>
      </w:pPr>
    </w:p>
    <w:p w:rsidR="00465F9F" w:rsidRPr="00993152" w:rsidRDefault="00042BF6" w:rsidP="00042BF6">
      <w:pPr>
        <w:pStyle w:val="Listenabsatz"/>
        <w:ind w:left="0"/>
        <w:jc w:val="both"/>
      </w:pPr>
      <w:r w:rsidRPr="00993152">
        <w:t xml:space="preserve">Es gibt </w:t>
      </w:r>
      <w:r w:rsidR="00465F9F" w:rsidRPr="00993152">
        <w:t>verschiedene Varianten</w:t>
      </w:r>
      <w:r w:rsidRPr="00993152">
        <w:t xml:space="preserve">: </w:t>
      </w:r>
    </w:p>
    <w:p w:rsidR="00465F9F" w:rsidRPr="00993152" w:rsidRDefault="00465F9F" w:rsidP="00042BF6">
      <w:pPr>
        <w:pStyle w:val="Listenabsatz"/>
        <w:ind w:left="0"/>
        <w:jc w:val="both"/>
      </w:pPr>
    </w:p>
    <w:p w:rsidR="00042BF6" w:rsidRPr="00993152" w:rsidRDefault="00042BF6" w:rsidP="00042BF6">
      <w:pPr>
        <w:pStyle w:val="Listenabsatz"/>
        <w:ind w:left="0"/>
        <w:jc w:val="both"/>
      </w:pPr>
      <w:r w:rsidRPr="00993152">
        <w:t xml:space="preserve">Entweder werden die Leistungen vom Jobcenter zugesagt und dann mit dem jeweiligen </w:t>
      </w:r>
      <w:r w:rsidRPr="00993152">
        <w:rPr>
          <w:b/>
        </w:rPr>
        <w:t>Leistungsanbieter direkt</w:t>
      </w:r>
      <w:r w:rsidRPr="00993152">
        <w:t xml:space="preserve"> abgerechnet oder es wird  in Ausnahmefällen, wenn eine Direktabrechnung nicht möglich oder sinnvoll ist, ein Gutschein ausgestellt.</w:t>
      </w:r>
    </w:p>
    <w:p w:rsidR="00736C46" w:rsidRPr="00993152" w:rsidRDefault="00736C46" w:rsidP="00042BF6">
      <w:pPr>
        <w:pStyle w:val="Listenabsatz"/>
        <w:ind w:left="0"/>
        <w:jc w:val="both"/>
      </w:pPr>
    </w:p>
    <w:p w:rsidR="007E4A8E" w:rsidRPr="00993152" w:rsidRDefault="006A34CC" w:rsidP="00042BF6">
      <w:pPr>
        <w:pStyle w:val="Listenabsatz"/>
        <w:ind w:left="0"/>
        <w:jc w:val="both"/>
      </w:pPr>
      <w:r>
        <w:t>B</w:t>
      </w:r>
      <w:r w:rsidR="007E4A8E" w:rsidRPr="00993152">
        <w:t>ei Klassenausflügen oder Ausflügen von Kindergärten</w:t>
      </w:r>
      <w:r w:rsidR="00A87452" w:rsidRPr="00993152">
        <w:t>, sowie bei Klassenfahrten</w:t>
      </w:r>
      <w:r>
        <w:t xml:space="preserve"> ist auch</w:t>
      </w:r>
      <w:r w:rsidR="007E4A8E" w:rsidRPr="00993152">
        <w:t xml:space="preserve"> eine Geldleistung an den Antragsteller möglich, wenn z.B.  die Ausflüge bar zu bezahlen sind, </w:t>
      </w:r>
      <w:r w:rsidR="007A14E9" w:rsidRPr="00993152">
        <w:t xml:space="preserve"> oder die Ausflüge </w:t>
      </w:r>
      <w:r w:rsidR="00A87452" w:rsidRPr="00993152">
        <w:t xml:space="preserve">bzw. Fahrten </w:t>
      </w:r>
      <w:r w:rsidR="007A14E9" w:rsidRPr="00993152">
        <w:t>kurzfristig anberaumt wurden</w:t>
      </w:r>
      <w:r w:rsidR="007E4A8E" w:rsidRPr="00993152">
        <w:t>.</w:t>
      </w:r>
    </w:p>
    <w:p w:rsidR="00465F9F" w:rsidRPr="00993152" w:rsidRDefault="00465F9F" w:rsidP="00042BF6">
      <w:pPr>
        <w:pStyle w:val="Listenabsatz"/>
        <w:ind w:left="0"/>
        <w:jc w:val="both"/>
      </w:pPr>
    </w:p>
    <w:p w:rsidR="00465F9F" w:rsidRPr="00993152" w:rsidRDefault="00465F9F" w:rsidP="00465F9F">
      <w:pPr>
        <w:pStyle w:val="Listenabsatz"/>
        <w:ind w:left="0"/>
        <w:jc w:val="both"/>
      </w:pPr>
      <w:r w:rsidRPr="00993152">
        <w:t xml:space="preserve">Eine nachträgliche </w:t>
      </w:r>
      <w:r w:rsidRPr="00993152">
        <w:rPr>
          <w:b/>
        </w:rPr>
        <w:t>Erstattung von Ausgaben der LB vor Antragstellung</w:t>
      </w:r>
      <w:r w:rsidRPr="00993152">
        <w:t xml:space="preserve"> ist  in § 30 SGB II in Fällen der  berechtigten Selbsthilfe gesetzlich verankert (z.B. nicht angekündigter Schulausflug ist gleich am nächsten Tag in bar beim Klassenlehrer zu zahlen).</w:t>
      </w:r>
    </w:p>
    <w:p w:rsidR="00465F9F" w:rsidRPr="00993152" w:rsidRDefault="00465F9F" w:rsidP="00465F9F">
      <w:pPr>
        <w:pStyle w:val="Listenabsatz"/>
        <w:ind w:left="0"/>
        <w:jc w:val="both"/>
      </w:pPr>
    </w:p>
    <w:p w:rsidR="00465F9F" w:rsidRPr="00993152" w:rsidRDefault="00465F9F" w:rsidP="00465F9F">
      <w:pPr>
        <w:pStyle w:val="Listenabsatz"/>
        <w:ind w:left="0"/>
        <w:jc w:val="both"/>
      </w:pPr>
      <w:r w:rsidRPr="00993152">
        <w:t xml:space="preserve">War es dem LB nicht möglich, rechtzeitig einen Antrag zu stellen, gilt dieser als zum Zeitpunkt der Selbstvornahme gestellt (§ 30 Satz 2 SGB II). </w:t>
      </w:r>
    </w:p>
    <w:p w:rsidR="00465F9F" w:rsidRPr="00993152" w:rsidRDefault="00465F9F" w:rsidP="00465F9F">
      <w:pPr>
        <w:pStyle w:val="Listenabsatz"/>
        <w:ind w:left="0"/>
        <w:jc w:val="both"/>
      </w:pPr>
    </w:p>
    <w:p w:rsidR="00465F9F" w:rsidRPr="00993152" w:rsidRDefault="00465F9F" w:rsidP="00465F9F">
      <w:pPr>
        <w:pStyle w:val="Listenabsatz"/>
        <w:ind w:left="0"/>
        <w:jc w:val="both"/>
      </w:pPr>
      <w:r w:rsidRPr="00993152">
        <w:t>Keine Erstattung ist dagegen in Fällen vorgesehen, in denen LB aus freien Stücken sich die Leistung selbst beschaffen und die Erstattung ihrer Aufwendungen fordern (vgl. BT-Dr. 17/12036).</w:t>
      </w:r>
    </w:p>
    <w:p w:rsidR="00465F9F" w:rsidRPr="00993152" w:rsidRDefault="00465F9F" w:rsidP="00042BF6">
      <w:pPr>
        <w:pStyle w:val="Listenabsatz"/>
        <w:ind w:left="0"/>
        <w:jc w:val="both"/>
      </w:pPr>
    </w:p>
    <w:p w:rsidR="00042BF6" w:rsidRPr="00993152" w:rsidRDefault="00042BF6" w:rsidP="00042BF6">
      <w:pPr>
        <w:pStyle w:val="Listenabsatz"/>
        <w:ind w:left="0"/>
        <w:jc w:val="both"/>
      </w:pPr>
    </w:p>
    <w:p w:rsidR="00042BF6" w:rsidRPr="00993152" w:rsidRDefault="00042BF6" w:rsidP="00042BF6">
      <w:pPr>
        <w:pStyle w:val="Listenabsatz"/>
        <w:ind w:left="0"/>
        <w:jc w:val="both"/>
      </w:pPr>
      <w:r w:rsidRPr="00993152">
        <w:t>Für die Zeitliche Zuordnung der Bedarfe kommt es auf den Fälligkeitstermin (Zahltermin) der Aufwendungen an.</w:t>
      </w:r>
      <w:r w:rsidR="001C733C" w:rsidRPr="00993152">
        <w:t xml:space="preserve"> Dieser Zeitpunkt ist nicht notwendig identisch mit dem Zeitpunkt der Inanspruchnahme der Leistungen</w:t>
      </w:r>
      <w:r w:rsidR="00B633C4" w:rsidRPr="00993152">
        <w:t xml:space="preserve"> (so auch StMAS Bayern im Schreiben vom </w:t>
      </w:r>
      <w:r w:rsidR="00A41230" w:rsidRPr="004717EA">
        <w:rPr>
          <w:color w:val="00B050"/>
        </w:rPr>
        <w:t>10.</w:t>
      </w:r>
      <w:r w:rsidR="004717EA" w:rsidRPr="004717EA">
        <w:rPr>
          <w:color w:val="00B050"/>
        </w:rPr>
        <w:t>10.2016</w:t>
      </w:r>
      <w:r w:rsidR="00B633C4" w:rsidRPr="00C96AD9">
        <w:t xml:space="preserve">, </w:t>
      </w:r>
      <w:r w:rsidR="00B633C4" w:rsidRPr="00993152">
        <w:t>Az.  I 3/6074.04-1/50).</w:t>
      </w:r>
    </w:p>
    <w:p w:rsidR="000910A4" w:rsidRPr="00993152" w:rsidRDefault="000910A4" w:rsidP="00042BF6">
      <w:pPr>
        <w:pStyle w:val="Listenabsatz"/>
        <w:ind w:left="0"/>
        <w:jc w:val="both"/>
      </w:pPr>
    </w:p>
    <w:p w:rsidR="006842AE" w:rsidRPr="00993152" w:rsidRDefault="006842AE" w:rsidP="006842AE">
      <w:pPr>
        <w:jc w:val="right"/>
        <w:rPr>
          <w:rFonts w:eastAsia="Times New Roman" w:cs="Arial"/>
          <w:sz w:val="19"/>
          <w:szCs w:val="19"/>
          <w:lang w:eastAsia="de-DE"/>
        </w:rPr>
      </w:pPr>
    </w:p>
    <w:p w:rsidR="003A716F" w:rsidRPr="00993152" w:rsidRDefault="003A716F" w:rsidP="00EF33D3">
      <w:pPr>
        <w:pStyle w:val="berschrift2"/>
        <w:numPr>
          <w:ilvl w:val="0"/>
          <w:numId w:val="0"/>
        </w:numPr>
        <w:ind w:left="142"/>
        <w:rPr>
          <w:sz w:val="24"/>
          <w:szCs w:val="24"/>
        </w:rPr>
      </w:pPr>
      <w:r w:rsidRPr="00993152">
        <w:rPr>
          <w:sz w:val="24"/>
          <w:szCs w:val="24"/>
        </w:rPr>
        <w:t>1.3 Beratungspflicht</w:t>
      </w:r>
    </w:p>
    <w:p w:rsidR="003A716F" w:rsidRPr="00993152" w:rsidRDefault="003A716F" w:rsidP="005167F3">
      <w:pPr>
        <w:pStyle w:val="Listenabsatz"/>
        <w:ind w:left="0"/>
        <w:jc w:val="both"/>
      </w:pPr>
    </w:p>
    <w:p w:rsidR="0087598F" w:rsidRPr="00993152" w:rsidRDefault="0087598F" w:rsidP="005167F3">
      <w:pPr>
        <w:pStyle w:val="Listenabsatz"/>
        <w:ind w:left="0"/>
        <w:jc w:val="both"/>
      </w:pPr>
      <w:r w:rsidRPr="00993152">
        <w:t xml:space="preserve">Um der allgemeinen Beratungspflicht und der besonderen Unterstützungspflicht nach § 4 Abs. 2 SGB II nachzukommen werden Leistungsberechtigte bereits bei der Antragstellung im Antragsservice auf die Möglichkeit der Inanspruchnahme der BuT-Leistungen hingewiesen </w:t>
      </w:r>
      <w:r w:rsidRPr="00993152">
        <w:lastRenderedPageBreak/>
        <w:t>und bei jedem Neuantrag auf SGB II Leistungen auch die „allgemeine Kundeninformation BuT“ ausgehändigt.</w:t>
      </w:r>
    </w:p>
    <w:p w:rsidR="0087598F" w:rsidRDefault="0087598F" w:rsidP="005167F3">
      <w:pPr>
        <w:pStyle w:val="Listenabsatz"/>
        <w:ind w:left="0"/>
        <w:jc w:val="both"/>
      </w:pPr>
      <w:r w:rsidRPr="00993152">
        <w:t>Zusätzlich ist bei Bedarfsgemeinschaften mit Kindern in jedem Bewilligungs- und Änderungsbescheid der über A</w:t>
      </w:r>
      <w:r w:rsidR="003124F7">
        <w:t>LLEGRO</w:t>
      </w:r>
      <w:r w:rsidRPr="00993152">
        <w:t xml:space="preserve"> versandt wird, das entsprechende Auswahlfeld für die BuT Information zu aktivieren. </w:t>
      </w:r>
    </w:p>
    <w:p w:rsidR="004717EA" w:rsidRPr="004717EA" w:rsidRDefault="004717EA" w:rsidP="005167F3">
      <w:pPr>
        <w:pStyle w:val="Listenabsatz"/>
        <w:ind w:left="0"/>
        <w:jc w:val="both"/>
        <w:rPr>
          <w:color w:val="00B050"/>
        </w:rPr>
      </w:pPr>
      <w:r w:rsidRPr="004717EA">
        <w:rPr>
          <w:color w:val="00B050"/>
        </w:rPr>
        <w:t xml:space="preserve">Sofern eine verzögerte Antragstellung auf einem Fehler der Verwaltung beruht (insbesondere auf unzureichender Beratung), kommt ggf. ein sozialrechtlicher Herstellungsanspruch in Betracht. Unter Umständen sind dann rückwirkend Leistungen zu gewähren (StMAS Bayern im Schreiben vom 10.10.2016, Az. I 3/6074.04-1/50). </w:t>
      </w:r>
    </w:p>
    <w:p w:rsidR="0087598F" w:rsidRPr="00993152" w:rsidRDefault="0087598F" w:rsidP="005167F3">
      <w:pPr>
        <w:pStyle w:val="Listenabsatz"/>
        <w:ind w:left="0"/>
        <w:jc w:val="both"/>
      </w:pPr>
    </w:p>
    <w:p w:rsidR="00426BE4" w:rsidRPr="00993152" w:rsidRDefault="0087598F" w:rsidP="00EF33D3">
      <w:pPr>
        <w:pStyle w:val="berschrift2"/>
        <w:numPr>
          <w:ilvl w:val="0"/>
          <w:numId w:val="0"/>
        </w:numPr>
        <w:ind w:left="142"/>
        <w:rPr>
          <w:sz w:val="24"/>
          <w:szCs w:val="24"/>
        </w:rPr>
      </w:pPr>
      <w:r w:rsidRPr="00993152">
        <w:rPr>
          <w:sz w:val="24"/>
          <w:szCs w:val="24"/>
        </w:rPr>
        <w:t>1.</w:t>
      </w:r>
      <w:r w:rsidR="00042BF6" w:rsidRPr="00993152">
        <w:rPr>
          <w:sz w:val="24"/>
          <w:szCs w:val="24"/>
        </w:rPr>
        <w:t>4</w:t>
      </w:r>
      <w:r w:rsidRPr="00993152">
        <w:rPr>
          <w:sz w:val="24"/>
          <w:szCs w:val="24"/>
        </w:rPr>
        <w:t xml:space="preserve"> Bewilligungszeitraum</w:t>
      </w:r>
    </w:p>
    <w:p w:rsidR="005167F3" w:rsidRPr="00993152" w:rsidRDefault="005167F3" w:rsidP="005167F3">
      <w:pPr>
        <w:pStyle w:val="Listenabsatz"/>
        <w:ind w:left="0"/>
        <w:jc w:val="both"/>
      </w:pPr>
    </w:p>
    <w:p w:rsidR="005167F3" w:rsidRPr="00993152" w:rsidRDefault="005167F3" w:rsidP="005167F3">
      <w:pPr>
        <w:pStyle w:val="Listenabsatz"/>
        <w:ind w:left="0"/>
        <w:jc w:val="both"/>
      </w:pPr>
      <w:r w:rsidRPr="00993152">
        <w:t>Der Bewilligungszeitraum</w:t>
      </w:r>
      <w:r w:rsidR="00241119" w:rsidRPr="00993152">
        <w:t xml:space="preserve"> (BWZ)</w:t>
      </w:r>
      <w:r w:rsidRPr="00993152">
        <w:t xml:space="preserve"> für Bildungs- und Teilhabeleistungen geht nicht über den Bewilligungszeitraum für das laufend gezahlte ALG II/Sozialgeld hinaus. Die Leistungen für Bildung und Teilhabe müssen daher bei jedem Antrag auf Weiterbewilligung neu beantragt werden. </w:t>
      </w:r>
    </w:p>
    <w:p w:rsidR="00241119" w:rsidRPr="00993152" w:rsidRDefault="00241119" w:rsidP="005167F3">
      <w:pPr>
        <w:pStyle w:val="Listenabsatz"/>
        <w:ind w:left="0"/>
        <w:jc w:val="both"/>
      </w:pPr>
    </w:p>
    <w:p w:rsidR="00241119" w:rsidRPr="00993152" w:rsidRDefault="00241119" w:rsidP="00241119">
      <w:pPr>
        <w:pStyle w:val="Listenabsatz"/>
        <w:ind w:left="0"/>
        <w:jc w:val="both"/>
      </w:pPr>
      <w:r w:rsidRPr="00993152">
        <w:t xml:space="preserve">Fallen vor Beendigung des BWZ die </w:t>
      </w:r>
      <w:r w:rsidRPr="00A41230">
        <w:rPr>
          <w:u w:val="single"/>
        </w:rPr>
        <w:t>allgemeinen Leistungsvoraussetzungen</w:t>
      </w:r>
      <w:r w:rsidRPr="00993152">
        <w:t xml:space="preserve"> weg (Beendigung der Hilfebedürftigkeit</w:t>
      </w:r>
      <w:r w:rsidR="00A41230">
        <w:t xml:space="preserve"> nach dem SGB II</w:t>
      </w:r>
      <w:r w:rsidRPr="00993152">
        <w:t>), so ist auch die Bewilligung der BuT Leistungen gem. § 48 SGB X mit Wirkung für die Zukunft bzw. ab dem Änderungszeitpunkt aufzuheben.</w:t>
      </w:r>
    </w:p>
    <w:p w:rsidR="001C733C" w:rsidRPr="00993152" w:rsidRDefault="001C733C" w:rsidP="00241119">
      <w:pPr>
        <w:pStyle w:val="Listenabsatz"/>
        <w:ind w:left="0"/>
        <w:jc w:val="both"/>
      </w:pPr>
      <w:r w:rsidRPr="00993152">
        <w:t>Die Leistungen sind anteilig (soweit sie für den Zeitraum ab Wirksamwerden der Aufhebung erbracht wurden) zu erstatten.</w:t>
      </w:r>
    </w:p>
    <w:p w:rsidR="00241119" w:rsidRPr="00993152" w:rsidRDefault="00241119" w:rsidP="00241119">
      <w:pPr>
        <w:pStyle w:val="Listenabsatz"/>
        <w:ind w:left="0"/>
        <w:jc w:val="both"/>
      </w:pPr>
    </w:p>
    <w:p w:rsidR="00241119" w:rsidRPr="00993152" w:rsidRDefault="00241119" w:rsidP="00241119">
      <w:pPr>
        <w:pStyle w:val="Listenabsatz"/>
        <w:ind w:left="0"/>
        <w:jc w:val="both"/>
      </w:pPr>
      <w:r w:rsidRPr="00993152">
        <w:t xml:space="preserve">Fällt vor Beendigung des BWZ lediglich die Hilfebedürftigkeit in Bezug auf BuT weg (keine allgemeine Hilfebedürftigkeit, sondern nur Anspruch auf BuT), so unterbleibt gem. § 40 Abs. 3 Satz 3 SGB II eine Rücknahme und Erstattung. </w:t>
      </w:r>
    </w:p>
    <w:p w:rsidR="00241119" w:rsidRDefault="00241119" w:rsidP="005167F3">
      <w:pPr>
        <w:pStyle w:val="Listenabsatz"/>
        <w:ind w:left="0"/>
        <w:jc w:val="both"/>
      </w:pPr>
    </w:p>
    <w:p w:rsidR="00A41230" w:rsidRPr="007A6096" w:rsidRDefault="00A41230" w:rsidP="005167F3">
      <w:pPr>
        <w:pStyle w:val="Listenabsatz"/>
        <w:ind w:left="0"/>
        <w:jc w:val="both"/>
      </w:pPr>
      <w:r w:rsidRPr="007A6096">
        <w:t xml:space="preserve">Fallen vor Beendigung des BWZ die </w:t>
      </w:r>
      <w:r w:rsidRPr="007A6096">
        <w:rPr>
          <w:u w:val="single"/>
        </w:rPr>
        <w:t>spezifischen Leistungsvoraussetzungen</w:t>
      </w:r>
      <w:r w:rsidRPr="007A6096">
        <w:t xml:space="preserve"> der §§ 28 ff SGB II weg, oder wird festgestellt, dass sie zu Unrecht angenommen wurden (z.B. kein Schüler mehr, Altersgrenze wird überschritten, Schulausflug wird abgesagt usw.), kommt § 40 Abs. 3 Satz 3 SGB II nicht zur Anwendung, so dass </w:t>
      </w:r>
      <w:r w:rsidR="000106A2" w:rsidRPr="007A6096">
        <w:t>di</w:t>
      </w:r>
      <w:r w:rsidRPr="007A6096">
        <w:t xml:space="preserve">es zu einer isolierten Aufhebung und Erstattung der BUT Leistungen führt (vgl. Schreiben StMAS Bayern vom </w:t>
      </w:r>
      <w:r w:rsidRPr="004717EA">
        <w:rPr>
          <w:color w:val="00B050"/>
        </w:rPr>
        <w:t>10.</w:t>
      </w:r>
      <w:r w:rsidR="004717EA" w:rsidRPr="004717EA">
        <w:rPr>
          <w:color w:val="00B050"/>
        </w:rPr>
        <w:t>10.2016</w:t>
      </w:r>
      <w:r w:rsidRPr="007A6096">
        <w:t>, Az. I3/607</w:t>
      </w:r>
      <w:r w:rsidR="004717EA">
        <w:t>4</w:t>
      </w:r>
      <w:r w:rsidRPr="007A6096">
        <w:t xml:space="preserve">.04-1/50). </w:t>
      </w:r>
    </w:p>
    <w:p w:rsidR="00241119" w:rsidRPr="00993152" w:rsidRDefault="00241119" w:rsidP="005167F3">
      <w:pPr>
        <w:pStyle w:val="Listenabsatz"/>
        <w:ind w:left="0"/>
        <w:jc w:val="both"/>
      </w:pPr>
    </w:p>
    <w:p w:rsidR="00496F23" w:rsidRPr="005759EF" w:rsidRDefault="008D1B0D" w:rsidP="00E5033E">
      <w:pPr>
        <w:pStyle w:val="berschrift1"/>
        <w:numPr>
          <w:ilvl w:val="0"/>
          <w:numId w:val="22"/>
        </w:numPr>
        <w:rPr>
          <w:color w:val="00B050"/>
          <w:sz w:val="24"/>
          <w:szCs w:val="24"/>
        </w:rPr>
      </w:pPr>
      <w:r w:rsidRPr="005759EF">
        <w:rPr>
          <w:color w:val="00B050"/>
          <w:sz w:val="24"/>
          <w:szCs w:val="24"/>
        </w:rPr>
        <w:t>Schulausflüge und mehrtägige Klassenfahrten (§ 28 Abs. 2 SGB II)</w:t>
      </w:r>
    </w:p>
    <w:p w:rsidR="00496F23" w:rsidRPr="00993152" w:rsidRDefault="00496F23" w:rsidP="005167F3">
      <w:pPr>
        <w:pStyle w:val="Listenabsatz"/>
        <w:ind w:left="0"/>
        <w:jc w:val="both"/>
      </w:pPr>
    </w:p>
    <w:p w:rsidR="00AA10C4" w:rsidRPr="005759EF" w:rsidRDefault="00AA10C4" w:rsidP="00AA10C4">
      <w:pPr>
        <w:pStyle w:val="Listenabsatz"/>
        <w:ind w:left="0"/>
        <w:contextualSpacing w:val="0"/>
        <w:jc w:val="both"/>
        <w:rPr>
          <w:color w:val="00B050"/>
        </w:rPr>
      </w:pPr>
      <w:r w:rsidRPr="00993152">
        <w:t xml:space="preserve">Leistungsberechtigt sind </w:t>
      </w:r>
      <w:r w:rsidRPr="00993152">
        <w:rPr>
          <w:b/>
        </w:rPr>
        <w:t>Schülerinnen und Schüler</w:t>
      </w:r>
      <w:r w:rsidRPr="00993152">
        <w:t xml:space="preserve">, die eine allgemein- oder berufsbildende Schule besuchen und jünger als 25 Jahre sind. Leistungsberechtigt sind auch Kinder, die eine </w:t>
      </w:r>
      <w:r w:rsidRPr="00993152">
        <w:rPr>
          <w:b/>
        </w:rPr>
        <w:t>Kindertageseinrichtung</w:t>
      </w:r>
      <w:r w:rsidRPr="00993152">
        <w:t xml:space="preserve"> besuchen</w:t>
      </w:r>
      <w:r w:rsidR="005759EF">
        <w:t xml:space="preserve"> </w:t>
      </w:r>
      <w:r w:rsidR="005759EF" w:rsidRPr="005759EF">
        <w:rPr>
          <w:color w:val="00B050"/>
        </w:rPr>
        <w:t>oder für die Kindertagespflege geleistet wird</w:t>
      </w:r>
      <w:r w:rsidRPr="005759EF">
        <w:rPr>
          <w:color w:val="00B050"/>
        </w:rPr>
        <w:t>.</w:t>
      </w:r>
    </w:p>
    <w:p w:rsidR="009A6259" w:rsidRPr="00993152" w:rsidRDefault="009A6259" w:rsidP="00AA10C4">
      <w:pPr>
        <w:pStyle w:val="Listenabsatz"/>
        <w:ind w:left="0"/>
        <w:contextualSpacing w:val="0"/>
        <w:jc w:val="both"/>
      </w:pPr>
      <w:r w:rsidRPr="00993152">
        <w:t>Ebenso können Kinder die Leistungen der Eingliederungshilfe (§ 54 SGB XII) in Heilpädagogischen und Sonderpädagogischen Tagesstätten erhalten Anspruch auf  diese Leistungen haben, nicht jedoch Kinder die Hilfe zur Erziehung in einer Tagesgruppe nach § 32 SGB VIII erhalten (vgl. Schreiben StMAS Bayern vom 24.07.2012, Az.VI 1/6541.01-1/151).</w:t>
      </w:r>
    </w:p>
    <w:p w:rsidR="006857AD" w:rsidRPr="00993152" w:rsidRDefault="006857AD" w:rsidP="00AA10C4">
      <w:pPr>
        <w:pStyle w:val="Listenabsatz"/>
        <w:ind w:left="0"/>
        <w:contextualSpacing w:val="0"/>
        <w:jc w:val="both"/>
      </w:pPr>
    </w:p>
    <w:p w:rsidR="006857AD" w:rsidRPr="00993152" w:rsidRDefault="006857AD" w:rsidP="006857AD">
      <w:pPr>
        <w:pStyle w:val="Listenabsatz"/>
        <w:ind w:left="0"/>
        <w:contextualSpacing w:val="0"/>
        <w:jc w:val="both"/>
      </w:pPr>
      <w:r w:rsidRPr="00993152">
        <w:t>Schüler, die eine Ausbildungsvergütung erhalten, sind von der Leistung ausgeschlossen.</w:t>
      </w:r>
    </w:p>
    <w:p w:rsidR="00AA10C4" w:rsidRDefault="00AA10C4" w:rsidP="00AA10C4">
      <w:pPr>
        <w:pStyle w:val="Listenabsatz"/>
        <w:ind w:left="0"/>
        <w:contextualSpacing w:val="0"/>
        <w:jc w:val="both"/>
      </w:pPr>
    </w:p>
    <w:p w:rsidR="004B2EB4" w:rsidRPr="00993152" w:rsidRDefault="004B2EB4" w:rsidP="00AA10C4">
      <w:pPr>
        <w:pStyle w:val="Listenabsatz"/>
        <w:ind w:left="0"/>
        <w:contextualSpacing w:val="0"/>
        <w:jc w:val="both"/>
      </w:pPr>
    </w:p>
    <w:p w:rsidR="00AA10C4" w:rsidRPr="00993152" w:rsidRDefault="00AA10C4" w:rsidP="00AA10C4">
      <w:pPr>
        <w:pStyle w:val="Listenabsatz"/>
        <w:ind w:left="0"/>
        <w:contextualSpacing w:val="0"/>
        <w:jc w:val="both"/>
      </w:pPr>
      <w:r w:rsidRPr="00993152">
        <w:lastRenderedPageBreak/>
        <w:t xml:space="preserve">Übernommen werden können die </w:t>
      </w:r>
      <w:r w:rsidRPr="00993152">
        <w:rPr>
          <w:b/>
        </w:rPr>
        <w:t>tatsächlich anfallenden Koste</w:t>
      </w:r>
      <w:r w:rsidRPr="00993152">
        <w:t xml:space="preserve">n für alle eintägigen Ausflüge, die im Bewilligungszeitraum stattfinden. Das gleiche gilt für mehrtägige </w:t>
      </w:r>
      <w:r w:rsidR="005759EF">
        <w:t>(</w:t>
      </w:r>
      <w:r w:rsidRPr="00993152">
        <w:t>Klassen</w:t>
      </w:r>
      <w:r w:rsidR="005759EF">
        <w:t>)</w:t>
      </w:r>
      <w:r w:rsidR="00611FC0">
        <w:t>f</w:t>
      </w:r>
      <w:r w:rsidRPr="00993152">
        <w:t>ahrten. Taschengeld für zusätzliche Ausgaben während des Ausflugs wird nicht übernommen</w:t>
      </w:r>
      <w:r w:rsidR="00E9587D" w:rsidRPr="00993152">
        <w:t xml:space="preserve"> (vgl. LSG Nordrhein-Westfalen 04.02.2008 – L 20 B 8/08 AS ER)</w:t>
      </w:r>
      <w:r w:rsidRPr="00993152">
        <w:t xml:space="preserve">. </w:t>
      </w:r>
    </w:p>
    <w:p w:rsidR="00AA10C4" w:rsidRPr="00993152" w:rsidRDefault="00AA10C4" w:rsidP="00AA10C4">
      <w:pPr>
        <w:pStyle w:val="Listenabsatz"/>
        <w:ind w:left="0"/>
        <w:contextualSpacing w:val="0"/>
        <w:jc w:val="both"/>
      </w:pPr>
    </w:p>
    <w:p w:rsidR="00AA10C4" w:rsidRPr="00993152" w:rsidRDefault="00AA10C4" w:rsidP="00AA10C4">
      <w:pPr>
        <w:pStyle w:val="Listenabsatz"/>
        <w:ind w:left="0"/>
        <w:contextualSpacing w:val="0"/>
        <w:jc w:val="both"/>
      </w:pPr>
      <w:r w:rsidRPr="00993152">
        <w:t xml:space="preserve">Als </w:t>
      </w:r>
      <w:r w:rsidRPr="00993152">
        <w:rPr>
          <w:b/>
        </w:rPr>
        <w:t>Nachweis</w:t>
      </w:r>
      <w:r w:rsidRPr="00993152">
        <w:t xml:space="preserve"> ist ein </w:t>
      </w:r>
      <w:r w:rsidRPr="00993152">
        <w:rPr>
          <w:b/>
        </w:rPr>
        <w:t>Elternbrief oder ein ähnliches Schreiben</w:t>
      </w:r>
      <w:r w:rsidRPr="00993152">
        <w:t xml:space="preserve"> der Schule bzw. der Kindertageseinrichtung vorzulegen. Soweit  Leistungen für die eintägigen Ausflüge oder mehrtägige Klassenfahrten bewilligt werden, übernimmt das Jobcenter dann die Abrechnung der Kosten direkt mit der Schule </w:t>
      </w:r>
      <w:r w:rsidR="008A4DAA" w:rsidRPr="00993152">
        <w:t>oder</w:t>
      </w:r>
      <w:r w:rsidRPr="00993152">
        <w:t xml:space="preserve"> Kindertageseinrichtung</w:t>
      </w:r>
      <w:r w:rsidR="008A4DAA" w:rsidRPr="00993152">
        <w:t>, bzw</w:t>
      </w:r>
      <w:r w:rsidRPr="00993152">
        <w:t>.</w:t>
      </w:r>
      <w:r w:rsidR="008A4DAA" w:rsidRPr="00993152">
        <w:t xml:space="preserve"> erbringt  die Geldleistung an den LB, sofern die Voraussetzungen hierfür vorliegen. </w:t>
      </w:r>
    </w:p>
    <w:p w:rsidR="004A157B" w:rsidRPr="00993152" w:rsidRDefault="004A157B" w:rsidP="00AA10C4">
      <w:pPr>
        <w:pStyle w:val="Listenabsatz"/>
        <w:ind w:left="0"/>
        <w:contextualSpacing w:val="0"/>
        <w:jc w:val="both"/>
      </w:pPr>
    </w:p>
    <w:p w:rsidR="004A157B" w:rsidRPr="00993152" w:rsidRDefault="004A157B" w:rsidP="00AA10C4">
      <w:pPr>
        <w:pStyle w:val="Listenabsatz"/>
        <w:ind w:left="0"/>
        <w:contextualSpacing w:val="0"/>
        <w:jc w:val="both"/>
      </w:pPr>
      <w:r w:rsidRPr="00993152">
        <w:t>Zur Thematik der Ausflüge und Klassenfahrten hat das StMAS Bayern mit Schreiben vom 21.05.2012, Az. I 3/6074.04-1/149 Stellung genommen.</w:t>
      </w:r>
    </w:p>
    <w:p w:rsidR="00496F23" w:rsidRPr="00993152" w:rsidRDefault="00496F23" w:rsidP="005167F3">
      <w:pPr>
        <w:pStyle w:val="Listenabsatz"/>
        <w:ind w:left="0"/>
        <w:jc w:val="both"/>
      </w:pPr>
    </w:p>
    <w:p w:rsidR="00496F23" w:rsidRPr="00993152" w:rsidRDefault="00496F23" w:rsidP="005167F3">
      <w:pPr>
        <w:pStyle w:val="Listenabsatz"/>
        <w:ind w:left="0"/>
        <w:jc w:val="both"/>
      </w:pPr>
    </w:p>
    <w:p w:rsidR="00AA10C4" w:rsidRPr="003360FD" w:rsidRDefault="00AA10C4" w:rsidP="00E5033E">
      <w:pPr>
        <w:pStyle w:val="berschrift1"/>
        <w:numPr>
          <w:ilvl w:val="0"/>
          <w:numId w:val="22"/>
        </w:numPr>
        <w:rPr>
          <w:color w:val="00B050"/>
          <w:sz w:val="24"/>
          <w:szCs w:val="24"/>
        </w:rPr>
      </w:pPr>
      <w:r w:rsidRPr="003360FD">
        <w:rPr>
          <w:color w:val="00B050"/>
          <w:sz w:val="24"/>
          <w:szCs w:val="24"/>
        </w:rPr>
        <w:t>Ausstattung mit persönlichem Schulbedarf (§ 28 Abs. 3 SGB II)</w:t>
      </w:r>
    </w:p>
    <w:p w:rsidR="00496F23" w:rsidRPr="00993152" w:rsidRDefault="00496F23" w:rsidP="005167F3">
      <w:pPr>
        <w:pStyle w:val="Listenabsatz"/>
        <w:ind w:left="0"/>
        <w:jc w:val="both"/>
        <w:rPr>
          <w:b/>
          <w:sz w:val="24"/>
          <w:szCs w:val="24"/>
        </w:rPr>
      </w:pPr>
    </w:p>
    <w:p w:rsidR="006857AD" w:rsidRPr="00993152" w:rsidRDefault="006857AD" w:rsidP="006857AD">
      <w:pPr>
        <w:jc w:val="both"/>
      </w:pPr>
      <w:r w:rsidRPr="00993152">
        <w:t xml:space="preserve">Leistungsberechtigt sind Schülerinnen und Schüler, die eine allgemein- oder berufsbildende Schule besuchen, wenn sie </w:t>
      </w:r>
      <w:r w:rsidRPr="00993152">
        <w:rPr>
          <w:b/>
        </w:rPr>
        <w:t>jünger als 25 Jahre</w:t>
      </w:r>
      <w:r w:rsidRPr="00993152">
        <w:t xml:space="preserve"> sind. </w:t>
      </w:r>
    </w:p>
    <w:p w:rsidR="006857AD" w:rsidRPr="00993152" w:rsidRDefault="006857AD" w:rsidP="006857AD">
      <w:pPr>
        <w:jc w:val="both"/>
      </w:pPr>
      <w:r w:rsidRPr="00993152">
        <w:t>Berufsschüler, die eine Ausbildungsvergütung erhalten, sind von der Leistung ausgeschlossen.</w:t>
      </w:r>
    </w:p>
    <w:p w:rsidR="006857AD" w:rsidRPr="00993152" w:rsidRDefault="006857AD" w:rsidP="006857AD">
      <w:pPr>
        <w:pStyle w:val="Listenabsatz"/>
        <w:jc w:val="both"/>
      </w:pPr>
    </w:p>
    <w:p w:rsidR="006857AD" w:rsidRPr="00993152" w:rsidRDefault="006857AD" w:rsidP="006857AD">
      <w:pPr>
        <w:pStyle w:val="Listenabsatz"/>
        <w:ind w:left="0"/>
        <w:contextualSpacing w:val="0"/>
        <w:jc w:val="both"/>
      </w:pPr>
      <w:r w:rsidRPr="00993152">
        <w:t>Die Leistung umfasst die Ausstattung mit persönlichem Schulbedarf wie Schultasche und dem Sportzeug auch Schreib-, Rechen- und Zeichenmaterialien</w:t>
      </w:r>
      <w:r w:rsidR="008E7E31" w:rsidRPr="00993152">
        <w:t>.</w:t>
      </w:r>
    </w:p>
    <w:p w:rsidR="006857AD" w:rsidRPr="00993152" w:rsidRDefault="006857AD" w:rsidP="006857AD">
      <w:pPr>
        <w:pStyle w:val="Listenabsatz"/>
        <w:ind w:left="0"/>
        <w:contextualSpacing w:val="0"/>
        <w:jc w:val="both"/>
      </w:pPr>
    </w:p>
    <w:p w:rsidR="006857AD" w:rsidRPr="00993152" w:rsidRDefault="006857AD" w:rsidP="006857AD">
      <w:pPr>
        <w:pStyle w:val="Listenabsatz"/>
        <w:ind w:left="0"/>
        <w:contextualSpacing w:val="0"/>
        <w:jc w:val="both"/>
      </w:pPr>
      <w:r w:rsidRPr="00993152">
        <w:t xml:space="preserve">Diese Leistung erhalten Schülerinnen und Schüler zusätzlich zu ihrem Regelbedarf zur Beschaffung der benötigten Schulausstattung zu Beginn eines Schulhalbjahres. Ausgaben für Verbrauchsmaterialien, die regelmäßig nachgekauft werden müssen, z. B. Hefte, </w:t>
      </w:r>
      <w:r w:rsidR="008E7E31" w:rsidRPr="00993152">
        <w:t>S</w:t>
      </w:r>
      <w:r w:rsidRPr="00993152">
        <w:t>tifte und Tinte, sind aus der monatlichen Regelleistung zu bestreiten.</w:t>
      </w:r>
    </w:p>
    <w:p w:rsidR="006857AD" w:rsidRPr="00993152" w:rsidRDefault="006857AD" w:rsidP="006857AD">
      <w:pPr>
        <w:pStyle w:val="Listenabsatz"/>
        <w:ind w:left="0"/>
        <w:contextualSpacing w:val="0"/>
        <w:jc w:val="both"/>
      </w:pPr>
    </w:p>
    <w:p w:rsidR="006857AD" w:rsidRPr="00993152" w:rsidRDefault="006857AD" w:rsidP="006857AD">
      <w:pPr>
        <w:pStyle w:val="Listenabsatz"/>
        <w:ind w:left="0"/>
        <w:contextualSpacing w:val="0"/>
        <w:jc w:val="both"/>
      </w:pPr>
      <w:r w:rsidRPr="00993152">
        <w:t xml:space="preserve">Die Leistung wird </w:t>
      </w:r>
      <w:r w:rsidR="00B07C47" w:rsidRPr="00993152">
        <w:t xml:space="preserve">in laufenden Fällen </w:t>
      </w:r>
      <w:r w:rsidRPr="00993152">
        <w:t xml:space="preserve">ohne gesonderte Antragstellung zweimal im Jahr, </w:t>
      </w:r>
      <w:r w:rsidR="001C733C" w:rsidRPr="00993152">
        <w:t>z</w:t>
      </w:r>
      <w:r w:rsidRPr="00993152">
        <w:t xml:space="preserve">um 1. August in Höhe von </w:t>
      </w:r>
      <w:r w:rsidRPr="00993152">
        <w:rPr>
          <w:b/>
        </w:rPr>
        <w:t>70 Euro</w:t>
      </w:r>
      <w:r w:rsidRPr="00993152">
        <w:t xml:space="preserve"> und zum 1. Februar in Höhe von </w:t>
      </w:r>
      <w:r w:rsidRPr="00993152">
        <w:rPr>
          <w:b/>
        </w:rPr>
        <w:t>30 Euro</w:t>
      </w:r>
      <w:r w:rsidR="001C733C" w:rsidRPr="00993152">
        <w:rPr>
          <w:b/>
        </w:rPr>
        <w:t xml:space="preserve"> über </w:t>
      </w:r>
      <w:r w:rsidR="00B05BF5">
        <w:rPr>
          <w:b/>
        </w:rPr>
        <w:t>die BA-IT Programme</w:t>
      </w:r>
      <w:r w:rsidR="001C733C" w:rsidRPr="00993152">
        <w:rPr>
          <w:b/>
        </w:rPr>
        <w:t xml:space="preserve"> </w:t>
      </w:r>
      <w:r w:rsidR="001C733C" w:rsidRPr="00993152">
        <w:t>als Geldleistung auf das Konto des Berechtigten gezahlt</w:t>
      </w:r>
      <w:r w:rsidRPr="00993152">
        <w:t xml:space="preserve">. </w:t>
      </w:r>
    </w:p>
    <w:p w:rsidR="001C733C" w:rsidRDefault="001C733C" w:rsidP="006857AD">
      <w:pPr>
        <w:pStyle w:val="Listenabsatz"/>
        <w:ind w:left="0"/>
        <w:contextualSpacing w:val="0"/>
        <w:jc w:val="both"/>
      </w:pPr>
    </w:p>
    <w:p w:rsidR="00527E35" w:rsidRDefault="003360FD" w:rsidP="00527E35">
      <w:pPr>
        <w:autoSpaceDE w:val="0"/>
        <w:autoSpaceDN w:val="0"/>
        <w:adjustRightInd w:val="0"/>
        <w:jc w:val="both"/>
        <w:rPr>
          <w:color w:val="00B050"/>
        </w:rPr>
      </w:pPr>
      <w:r w:rsidRPr="003360FD">
        <w:rPr>
          <w:color w:val="00B050"/>
        </w:rPr>
        <w:t xml:space="preserve">Durch die Ergänzung des § 28 Absatz 3 SGB II erhalten ab 01.08.2016 im Ergebnis alle leistungsberechtigten Kinder künftig auch für das Schuljahr </w:t>
      </w:r>
      <w:r w:rsidRPr="003360FD">
        <w:rPr>
          <w:color w:val="00B050"/>
          <w:u w:val="single"/>
        </w:rPr>
        <w:t>ihrer erstmaligen oder erneuten Einschulung und auch bei erstmaliger oder erneuter Einschulung ab dem 1. Februar eines Schuljahres - insgesamt 100 Euro für den persönlichen Schulbedarf:</w:t>
      </w:r>
      <w:r w:rsidRPr="003360FD">
        <w:rPr>
          <w:color w:val="00B050"/>
        </w:rPr>
        <w:t xml:space="preserve"> </w:t>
      </w:r>
      <w:r w:rsidR="002D21C7">
        <w:rPr>
          <w:color w:val="00B050"/>
        </w:rPr>
        <w:t>Die Höhe des Schulbedarfes richtet sich danach, ob die (Wieder-) Aufnahme in die Schule in den Zeitraum von August bis Januar fällt (dann 70 EUR) oder Februar bis Juli (dann 100 EUR).</w:t>
      </w:r>
    </w:p>
    <w:p w:rsidR="002D21C7" w:rsidRDefault="002D21C7" w:rsidP="00527E35">
      <w:pPr>
        <w:autoSpaceDE w:val="0"/>
        <w:autoSpaceDN w:val="0"/>
        <w:adjustRightInd w:val="0"/>
        <w:jc w:val="both"/>
        <w:rPr>
          <w:rFonts w:cs="Arial"/>
        </w:rPr>
      </w:pPr>
      <w:r>
        <w:rPr>
          <w:color w:val="00B050"/>
        </w:rPr>
        <w:t>Wichtig jedoch: Wenn zum Zeitpunkt der (Wieder)Aufnahme in die Schule keine Bedürftigkeit vorliegt, diese aber zu einem späteren Zeitpunkt im Verlauf des Schuljahres eintritt, erlaubt die pauschalierende Regelung des § 28 Abs. 3 SGB II keine Leistung. Wer mangels Bedürftigkeit am Stichtag die Anspruchsvoraussetzungen der Vorschrift nicht erfüllt, kann zu einem späteren Zeitpunkt keine-auch nicht anteilig-Ansprüche erwerben.</w:t>
      </w:r>
    </w:p>
    <w:p w:rsidR="000D2C99" w:rsidRDefault="000D2C99" w:rsidP="00527E35">
      <w:pPr>
        <w:autoSpaceDE w:val="0"/>
        <w:autoSpaceDN w:val="0"/>
        <w:adjustRightInd w:val="0"/>
        <w:jc w:val="both"/>
        <w:rPr>
          <w:rFonts w:cs="Arial"/>
        </w:rPr>
      </w:pPr>
    </w:p>
    <w:p w:rsidR="003360FD" w:rsidRPr="003360FD" w:rsidRDefault="002D21C7" w:rsidP="00527E35">
      <w:pPr>
        <w:pStyle w:val="Listenabsatz"/>
        <w:ind w:left="0"/>
        <w:jc w:val="both"/>
        <w:rPr>
          <w:rFonts w:cs="Arial"/>
          <w:color w:val="00B050"/>
        </w:rPr>
      </w:pPr>
      <w:r>
        <w:rPr>
          <w:rFonts w:cs="Arial"/>
          <w:color w:val="00B050"/>
        </w:rPr>
        <w:t>Eines besonderen Antrages bedarf es beim Schulbedarf nicht</w:t>
      </w:r>
      <w:r w:rsidR="00CA2E03">
        <w:rPr>
          <w:rFonts w:cs="Arial"/>
          <w:color w:val="00B050"/>
        </w:rPr>
        <w:t>. D</w:t>
      </w:r>
      <w:r w:rsidR="003360FD" w:rsidRPr="003360FD">
        <w:rPr>
          <w:rFonts w:cs="Arial"/>
          <w:color w:val="00B050"/>
        </w:rPr>
        <w:t xml:space="preserve">amit dem JC aber die spätere erstmalige oder erneute Einschulung bekannt wird, ist ein  </w:t>
      </w:r>
      <w:r>
        <w:rPr>
          <w:rFonts w:cs="Arial"/>
          <w:color w:val="00B050"/>
        </w:rPr>
        <w:t xml:space="preserve">Hinweis der Eltern oder des/der Schüler/in </w:t>
      </w:r>
      <w:r w:rsidR="003360FD" w:rsidRPr="003360FD">
        <w:rPr>
          <w:rFonts w:cs="Arial"/>
          <w:color w:val="00B050"/>
        </w:rPr>
        <w:t>(Vorsprache, Telefonat usw.) erforderlich.</w:t>
      </w:r>
    </w:p>
    <w:p w:rsidR="003360FD" w:rsidRPr="00993152" w:rsidRDefault="003360FD" w:rsidP="006857AD">
      <w:pPr>
        <w:pStyle w:val="Listenabsatz"/>
        <w:ind w:left="0"/>
        <w:contextualSpacing w:val="0"/>
        <w:jc w:val="both"/>
      </w:pPr>
    </w:p>
    <w:p w:rsidR="006857AD" w:rsidRPr="000D2C99" w:rsidRDefault="006857AD" w:rsidP="006857AD">
      <w:pPr>
        <w:pStyle w:val="Listenabsatz"/>
        <w:ind w:left="0"/>
        <w:contextualSpacing w:val="0"/>
        <w:jc w:val="both"/>
        <w:rPr>
          <w:color w:val="00B050"/>
        </w:rPr>
      </w:pPr>
      <w:r w:rsidRPr="00993152">
        <w:t xml:space="preserve">Als </w:t>
      </w:r>
      <w:r w:rsidRPr="00993152">
        <w:rPr>
          <w:b/>
        </w:rPr>
        <w:t>Nachweis</w:t>
      </w:r>
      <w:r w:rsidRPr="00993152">
        <w:t xml:space="preserve"> </w:t>
      </w:r>
      <w:r w:rsidR="00B07C47" w:rsidRPr="00993152">
        <w:t xml:space="preserve">kann eine </w:t>
      </w:r>
      <w:r w:rsidR="00B07C47" w:rsidRPr="00993152">
        <w:rPr>
          <w:b/>
        </w:rPr>
        <w:t>Schulbescheinigung</w:t>
      </w:r>
      <w:r w:rsidR="00B07C47" w:rsidRPr="00993152">
        <w:t xml:space="preserve"> verlangt werden, insbesondere dann, wenn aufgrund des Alters des Kindes unklar ist, ob die Schule bereits  oder noch besucht wird</w:t>
      </w:r>
      <w:r w:rsidR="000D2C99">
        <w:t xml:space="preserve">, </w:t>
      </w:r>
      <w:r w:rsidR="000D2C99" w:rsidRPr="000D2C99">
        <w:rPr>
          <w:color w:val="00B050"/>
        </w:rPr>
        <w:lastRenderedPageBreak/>
        <w:t>oder wenn die erstmalige oder erneute Aufnahme in eine Schule nach Beginn des regulären Schuljahres erfolgt</w:t>
      </w:r>
      <w:r w:rsidR="00B07C47" w:rsidRPr="000D2C99">
        <w:rPr>
          <w:color w:val="00B050"/>
        </w:rPr>
        <w:t>.</w:t>
      </w:r>
      <w:r w:rsidRPr="000D2C99">
        <w:rPr>
          <w:color w:val="00B050"/>
        </w:rPr>
        <w:t xml:space="preserve"> </w:t>
      </w:r>
    </w:p>
    <w:p w:rsidR="006857AD" w:rsidRPr="00993152" w:rsidRDefault="006857AD" w:rsidP="005167F3">
      <w:pPr>
        <w:pStyle w:val="Listenabsatz"/>
        <w:ind w:left="0"/>
        <w:jc w:val="both"/>
      </w:pPr>
    </w:p>
    <w:p w:rsidR="002D21C7" w:rsidRPr="000D2C99" w:rsidRDefault="002D21C7" w:rsidP="002D21C7">
      <w:pPr>
        <w:pStyle w:val="Listenabsatz"/>
        <w:ind w:left="0"/>
        <w:contextualSpacing w:val="0"/>
        <w:jc w:val="both"/>
        <w:rPr>
          <w:color w:val="00B050"/>
        </w:rPr>
      </w:pPr>
      <w:r w:rsidRPr="000D2C99">
        <w:rPr>
          <w:color w:val="00B050"/>
        </w:rPr>
        <w:t>Zur Thematik Schulbedarf hat das StMAS Bayern mit Schreiben vom 12.08.2016, Az. I 3/6074.04-1/135 Stellung genommen.</w:t>
      </w:r>
    </w:p>
    <w:p w:rsidR="003A46D9" w:rsidRDefault="003A46D9" w:rsidP="005167F3">
      <w:pPr>
        <w:pStyle w:val="Listenabsatz"/>
        <w:ind w:left="0"/>
        <w:jc w:val="both"/>
      </w:pPr>
    </w:p>
    <w:p w:rsidR="001D2AF9" w:rsidRDefault="001D2AF9" w:rsidP="005167F3">
      <w:pPr>
        <w:pStyle w:val="Listenabsatz"/>
        <w:ind w:left="0"/>
        <w:jc w:val="both"/>
      </w:pPr>
    </w:p>
    <w:p w:rsidR="00E01D59" w:rsidRDefault="00E01D59" w:rsidP="005167F3">
      <w:pPr>
        <w:pStyle w:val="Listenabsatz"/>
        <w:ind w:left="0"/>
        <w:jc w:val="both"/>
      </w:pPr>
    </w:p>
    <w:p w:rsidR="00496F23" w:rsidRPr="00993152" w:rsidRDefault="00F25AE9" w:rsidP="00E5033E">
      <w:pPr>
        <w:pStyle w:val="berschrift1"/>
        <w:numPr>
          <w:ilvl w:val="0"/>
          <w:numId w:val="22"/>
        </w:numPr>
        <w:rPr>
          <w:sz w:val="24"/>
          <w:szCs w:val="24"/>
        </w:rPr>
      </w:pPr>
      <w:r w:rsidRPr="00993152">
        <w:rPr>
          <w:sz w:val="24"/>
          <w:szCs w:val="24"/>
        </w:rPr>
        <w:t>Schülerbeförderung (§ 28 Abs. 4 SGB II)</w:t>
      </w:r>
    </w:p>
    <w:p w:rsidR="00496F23" w:rsidRPr="00993152" w:rsidRDefault="00496F23" w:rsidP="005167F3">
      <w:pPr>
        <w:pStyle w:val="Listenabsatz"/>
        <w:ind w:left="0"/>
        <w:jc w:val="both"/>
      </w:pPr>
    </w:p>
    <w:p w:rsidR="00B32B39" w:rsidRPr="00993152" w:rsidRDefault="00B32B39" w:rsidP="00B32B39">
      <w:pPr>
        <w:pStyle w:val="Listenabsatz"/>
        <w:ind w:left="0"/>
        <w:contextualSpacing w:val="0"/>
        <w:jc w:val="both"/>
      </w:pPr>
      <w:r w:rsidRPr="00993152">
        <w:t>Leistungsberechtigt sind Schülerinnen und Schüler, welche die nächstgelegene Schule besuchen und diese nicht zu Fuß oder mit dem Fahrrad erreichen können, soweit die Kosten nicht von anderer Seite übernommen werden bzw. dem Grundsatz nach übernommen werden könnten.</w:t>
      </w:r>
    </w:p>
    <w:p w:rsidR="00B32B39" w:rsidRPr="00993152" w:rsidRDefault="00B32B39" w:rsidP="00B32B39">
      <w:pPr>
        <w:pStyle w:val="Listenabsatz"/>
        <w:ind w:left="0"/>
        <w:jc w:val="both"/>
      </w:pPr>
    </w:p>
    <w:p w:rsidR="00B32B39" w:rsidRPr="00993152" w:rsidRDefault="00B32B39" w:rsidP="00B32B39">
      <w:pPr>
        <w:pStyle w:val="Listenabsatz"/>
        <w:ind w:left="0"/>
        <w:jc w:val="both"/>
      </w:pPr>
      <w:r w:rsidRPr="00993152">
        <w:rPr>
          <w:b/>
        </w:rPr>
        <w:t xml:space="preserve">Eine Kostenübernahme im SGB II durch das Jobcenter Passau Land wird daher </w:t>
      </w:r>
      <w:r w:rsidR="00004FA4" w:rsidRPr="00993152">
        <w:rPr>
          <w:b/>
        </w:rPr>
        <w:t xml:space="preserve">die absolute </w:t>
      </w:r>
      <w:r w:rsidRPr="00993152">
        <w:rPr>
          <w:b/>
        </w:rPr>
        <w:t>Ausnahme sein, weil</w:t>
      </w:r>
      <w:r w:rsidRPr="00993152">
        <w:t xml:space="preserve"> in Bayern bis zur 10. Klasse grundsätzlich eine Kostenübernahme aufgrund des Schulwegkostenfreiheitsgesetz und der Verordnung über die Schülerbeförderung in Frage kommt. </w:t>
      </w:r>
    </w:p>
    <w:p w:rsidR="00B32B39" w:rsidRPr="00993152" w:rsidRDefault="00B32B39" w:rsidP="00B32B39">
      <w:pPr>
        <w:pStyle w:val="Listenabsatz"/>
        <w:ind w:left="0"/>
        <w:jc w:val="both"/>
      </w:pPr>
      <w:r w:rsidRPr="00993152">
        <w:t>Auch über die 10. Klasse hinaus ist eine Kostenerstattung durch das Sachgebiet Kostenfreiheit des Schulweges</w:t>
      </w:r>
      <w:r w:rsidR="00D7366F" w:rsidRPr="00993152">
        <w:t xml:space="preserve"> im Landratsamt Passau </w:t>
      </w:r>
      <w:r w:rsidRPr="00993152">
        <w:t xml:space="preserve"> möglich, wenn SGB II Leistungen bezogen werden.</w:t>
      </w:r>
    </w:p>
    <w:p w:rsidR="00B32B39" w:rsidRPr="00993152" w:rsidRDefault="00B32B39" w:rsidP="00B32B39">
      <w:pPr>
        <w:pStyle w:val="Listenabsatz"/>
        <w:ind w:left="0"/>
        <w:jc w:val="both"/>
      </w:pPr>
    </w:p>
    <w:p w:rsidR="00B32B39" w:rsidRPr="00993152" w:rsidRDefault="00B32B39" w:rsidP="00B32B39">
      <w:pPr>
        <w:pStyle w:val="Listenabsatz"/>
        <w:ind w:left="0"/>
        <w:jc w:val="both"/>
      </w:pPr>
      <w:r w:rsidRPr="00993152">
        <w:t xml:space="preserve">Werden Leistungen des Schulwegkostenfreiheitsgesetzes abgelehnt, da es sich z.B. nicht um die nächstgelegene Schule handelt, können diese auch nicht vom Jobcenter übernommen werden, da hier die gleiche Voraussetzung gilt. </w:t>
      </w:r>
    </w:p>
    <w:p w:rsidR="00B32B39" w:rsidRPr="00993152" w:rsidRDefault="00B32B39" w:rsidP="00B32B39">
      <w:pPr>
        <w:pStyle w:val="Listenabsatz"/>
        <w:ind w:left="0"/>
        <w:jc w:val="both"/>
      </w:pPr>
    </w:p>
    <w:p w:rsidR="00B32B39" w:rsidRPr="00993152" w:rsidRDefault="00B32B39" w:rsidP="00B32B39">
      <w:pPr>
        <w:pStyle w:val="Listenabsatz"/>
        <w:ind w:left="0"/>
        <w:jc w:val="both"/>
      </w:pPr>
      <w:r w:rsidRPr="00993152">
        <w:t>Sollte dennoch ein atypischer Ausnahmefall auftreten, kann</w:t>
      </w:r>
      <w:r w:rsidR="00EA135D" w:rsidRPr="00993152">
        <w:t xml:space="preserve"> </w:t>
      </w:r>
      <w:r w:rsidRPr="00993152">
        <w:t>ein Bedarf  nur berücksichtigt werden, wenn für den Weg zur Schule tatsächlich kostenpflichtige Verkehrsdienstleistungen (z. B. privater Schultransport) oder öffentliche Verkehrsmittel (Schulbus, Linienbus, S-Bahn, Straßenbahn etc.) genutzt werden.</w:t>
      </w:r>
    </w:p>
    <w:p w:rsidR="00B32B39" w:rsidRPr="00993152" w:rsidRDefault="00B32B39" w:rsidP="00B32B39">
      <w:pPr>
        <w:jc w:val="both"/>
      </w:pPr>
    </w:p>
    <w:p w:rsidR="00EA135D" w:rsidRPr="00993152" w:rsidRDefault="00B32B39" w:rsidP="00F4243B">
      <w:pPr>
        <w:jc w:val="both"/>
      </w:pPr>
      <w:r w:rsidRPr="00993152">
        <w:t xml:space="preserve">Sollten die Kosten für eine Schülermonatskarte anerkannt werden, wird der Preis für das Monatsticket </w:t>
      </w:r>
      <w:r w:rsidR="00F4243B" w:rsidRPr="00993152">
        <w:t xml:space="preserve"> </w:t>
      </w:r>
      <w:r w:rsidRPr="00993152">
        <w:t>um d</w:t>
      </w:r>
      <w:r w:rsidR="00F4243B" w:rsidRPr="00993152">
        <w:t>ie zumutbare Eigenleistung in Höhe von 5 EUR monatlich vermindert.</w:t>
      </w:r>
    </w:p>
    <w:p w:rsidR="00B32B39" w:rsidRPr="00993152" w:rsidRDefault="00B32B39" w:rsidP="00B32B39">
      <w:pPr>
        <w:jc w:val="both"/>
      </w:pPr>
    </w:p>
    <w:p w:rsidR="00B32B39" w:rsidRPr="00993152" w:rsidRDefault="00B32B39" w:rsidP="00B32B39">
      <w:pPr>
        <w:jc w:val="both"/>
      </w:pPr>
      <w:r w:rsidRPr="00993152">
        <w:t>Zuschüsse Dritter zu den Schülerbeförderungskosten mindern die Leistung ebenfalls.</w:t>
      </w:r>
    </w:p>
    <w:p w:rsidR="00B32B39" w:rsidRPr="00993152" w:rsidRDefault="00B32B39" w:rsidP="00B32B39">
      <w:pPr>
        <w:pStyle w:val="Listenabsatz"/>
        <w:ind w:left="0"/>
        <w:contextualSpacing w:val="0"/>
        <w:jc w:val="both"/>
      </w:pPr>
    </w:p>
    <w:p w:rsidR="00B32B39" w:rsidRPr="00993152" w:rsidRDefault="00B32B39" w:rsidP="00B32B39">
      <w:pPr>
        <w:jc w:val="both"/>
      </w:pPr>
      <w:r w:rsidRPr="00993152">
        <w:t>Der Zuschuss zu den Schülerbeförderungskosten wird als Geldleistung erbracht.</w:t>
      </w:r>
    </w:p>
    <w:p w:rsidR="00B32B39" w:rsidRPr="00993152" w:rsidRDefault="00B32B39" w:rsidP="00B32B39">
      <w:pPr>
        <w:pStyle w:val="Listenabsatz"/>
        <w:ind w:left="0"/>
        <w:contextualSpacing w:val="0"/>
        <w:jc w:val="both"/>
        <w:rPr>
          <w:u w:val="single"/>
        </w:rPr>
      </w:pPr>
    </w:p>
    <w:p w:rsidR="00B32B39" w:rsidRPr="00993152" w:rsidRDefault="00B32B39" w:rsidP="00B32B39">
      <w:pPr>
        <w:pStyle w:val="Listenabsatz"/>
        <w:ind w:left="0"/>
        <w:contextualSpacing w:val="0"/>
        <w:jc w:val="both"/>
      </w:pPr>
      <w:r w:rsidRPr="00993152">
        <w:t xml:space="preserve">Da es sich um eine zweckbestimmte Geldleistung handelt, kann das Jobcenter Nachweise über die Verwendung verlangen. </w:t>
      </w:r>
    </w:p>
    <w:p w:rsidR="000145FC" w:rsidRPr="00993152" w:rsidRDefault="000145FC" w:rsidP="00B32B39">
      <w:pPr>
        <w:pStyle w:val="Listenabsatz"/>
        <w:ind w:left="0"/>
        <w:contextualSpacing w:val="0"/>
        <w:jc w:val="both"/>
      </w:pPr>
    </w:p>
    <w:p w:rsidR="000145FC" w:rsidRPr="00993152" w:rsidRDefault="000145FC" w:rsidP="00B32B39">
      <w:pPr>
        <w:pStyle w:val="Listenabsatz"/>
        <w:ind w:left="0"/>
        <w:contextualSpacing w:val="0"/>
        <w:jc w:val="both"/>
      </w:pPr>
      <w:r w:rsidRPr="00993152">
        <w:t xml:space="preserve">Zur Thematik der Schülerbeförderung hat auch das StMAS  Bayern mit Schreiben vom </w:t>
      </w:r>
      <w:r w:rsidR="00574A3B" w:rsidRPr="00993152">
        <w:t>22.07.2013</w:t>
      </w:r>
      <w:r w:rsidRPr="00993152">
        <w:t>, Az. VI 1/6541.01-1/179 Stellung bezogen.</w:t>
      </w:r>
    </w:p>
    <w:p w:rsidR="001D2AF9" w:rsidRDefault="001D2AF9"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1D2AF9" w:rsidRDefault="001D2AF9" w:rsidP="005167F3">
      <w:pPr>
        <w:pStyle w:val="Listenabsatz"/>
        <w:ind w:left="0"/>
        <w:jc w:val="both"/>
      </w:pPr>
    </w:p>
    <w:p w:rsidR="001D2AF9" w:rsidRPr="00993152" w:rsidRDefault="001D2AF9" w:rsidP="005167F3">
      <w:pPr>
        <w:pStyle w:val="Listenabsatz"/>
        <w:ind w:left="0"/>
        <w:jc w:val="both"/>
      </w:pPr>
    </w:p>
    <w:p w:rsidR="004A157B" w:rsidRPr="00993152" w:rsidRDefault="004A157B" w:rsidP="005167F3">
      <w:pPr>
        <w:pStyle w:val="Listenabsatz"/>
        <w:ind w:left="0"/>
        <w:jc w:val="both"/>
      </w:pPr>
    </w:p>
    <w:p w:rsidR="00496F23" w:rsidRPr="00993152" w:rsidRDefault="00D74A9B" w:rsidP="00E5033E">
      <w:pPr>
        <w:pStyle w:val="berschrift1"/>
        <w:numPr>
          <w:ilvl w:val="0"/>
          <w:numId w:val="22"/>
        </w:numPr>
        <w:rPr>
          <w:sz w:val="24"/>
          <w:szCs w:val="24"/>
        </w:rPr>
      </w:pPr>
      <w:r w:rsidRPr="00993152">
        <w:rPr>
          <w:sz w:val="24"/>
          <w:szCs w:val="24"/>
        </w:rPr>
        <w:lastRenderedPageBreak/>
        <w:t>Lernförderung (§ 28 Abs. 5 SGB II)</w:t>
      </w:r>
    </w:p>
    <w:p w:rsidR="00496F23" w:rsidRPr="00993152" w:rsidRDefault="00496F23" w:rsidP="005167F3">
      <w:pPr>
        <w:pStyle w:val="Listenabsatz"/>
        <w:ind w:left="0"/>
        <w:jc w:val="both"/>
        <w:rPr>
          <w:sz w:val="24"/>
          <w:szCs w:val="24"/>
        </w:rPr>
      </w:pPr>
    </w:p>
    <w:p w:rsidR="00496F23" w:rsidRPr="00993152" w:rsidRDefault="00496F23" w:rsidP="005167F3">
      <w:pPr>
        <w:pStyle w:val="Listenabsatz"/>
        <w:ind w:left="0"/>
        <w:jc w:val="both"/>
      </w:pPr>
    </w:p>
    <w:p w:rsidR="006B5B10" w:rsidRPr="00993152" w:rsidRDefault="006B5B10" w:rsidP="006B5B10">
      <w:pPr>
        <w:pStyle w:val="Listenabsatz"/>
        <w:ind w:left="0"/>
        <w:contextualSpacing w:val="0"/>
        <w:jc w:val="both"/>
      </w:pPr>
      <w:r w:rsidRPr="00993152">
        <w:t xml:space="preserve">Leistungsberechtigt sind </w:t>
      </w:r>
      <w:r w:rsidRPr="00993152">
        <w:rPr>
          <w:b/>
        </w:rPr>
        <w:t>Schülerinnen und Schüler</w:t>
      </w:r>
      <w:r w:rsidRPr="00993152">
        <w:t xml:space="preserve">, die eine allgemein- oder berufsbildende Schule besuchen, wenn sie </w:t>
      </w:r>
      <w:r w:rsidRPr="00993152">
        <w:rPr>
          <w:b/>
        </w:rPr>
        <w:t>jünger als 25 Jahre</w:t>
      </w:r>
      <w:r w:rsidRPr="00993152">
        <w:t xml:space="preserve"> sind. Berufsschüler, die eine Ausbildungsvergütung erhalten, sind von der Leistung ausgeschlossen.</w:t>
      </w:r>
    </w:p>
    <w:p w:rsidR="006B5B10" w:rsidRPr="00993152" w:rsidRDefault="006B5B10" w:rsidP="006B5B10">
      <w:pPr>
        <w:pStyle w:val="Listenabsatz"/>
        <w:ind w:left="0"/>
        <w:contextualSpacing w:val="0"/>
        <w:jc w:val="both"/>
      </w:pPr>
    </w:p>
    <w:p w:rsidR="006B5B10" w:rsidRPr="00993152" w:rsidRDefault="006B5B10" w:rsidP="006B5B10">
      <w:pPr>
        <w:pStyle w:val="Listenabsatz"/>
        <w:ind w:left="0"/>
        <w:contextualSpacing w:val="0"/>
        <w:jc w:val="both"/>
      </w:pPr>
      <w:r w:rsidRPr="00993152">
        <w:t>Mit der außerschulischen Lernförderung werden im Ausnahmefall die von den Schulen und schulnahen Trägern (z. B. Fördervereine) organisierten Förderangebote ergänzt. Diese in der Regel kostenfreien Angebote sind vorrangig zu nutzen. Nur wenn das Erreichen des Klassenziels (Versetzung in die nächste Klassenstufe oder ein ausreichendes Leistungsniveau) gefährdet ist und eine Verbesserung nur mit Hilfe einer außerschulischen Lernförderung kurzfristig erreicht werden kann, kommt diese Leistung in Betracht. Für das Erreichen einer besseren Schulartenempfehlung (z. B. Übertritt auf ein Gymnasium)</w:t>
      </w:r>
      <w:r w:rsidR="00D7366F" w:rsidRPr="00993152">
        <w:t xml:space="preserve"> oder zur reinen Notenverbesserung</w:t>
      </w:r>
      <w:r w:rsidRPr="00993152">
        <w:t xml:space="preserve"> kann </w:t>
      </w:r>
      <w:r w:rsidRPr="00993152">
        <w:rPr>
          <w:b/>
        </w:rPr>
        <w:t>keine</w:t>
      </w:r>
      <w:r w:rsidRPr="00993152">
        <w:t xml:space="preserve"> außerschulische Lernförderung gewährt werden.</w:t>
      </w:r>
    </w:p>
    <w:p w:rsidR="006B5B10" w:rsidRPr="00993152" w:rsidRDefault="006B5B10" w:rsidP="006B5B10">
      <w:pPr>
        <w:pStyle w:val="Listenabsatz"/>
        <w:ind w:left="0"/>
        <w:contextualSpacing w:val="0"/>
        <w:jc w:val="both"/>
      </w:pPr>
    </w:p>
    <w:p w:rsidR="006B5B10" w:rsidRPr="00993152" w:rsidRDefault="006B5B10" w:rsidP="006B5B10">
      <w:pPr>
        <w:pStyle w:val="Listenabsatz"/>
        <w:ind w:left="0"/>
        <w:contextualSpacing w:val="0"/>
        <w:jc w:val="both"/>
      </w:pPr>
      <w:r w:rsidRPr="00993152">
        <w:t xml:space="preserve">Wenn eine außerschulische Lernförderung notwendig ist, werden </w:t>
      </w:r>
      <w:r w:rsidRPr="00993152">
        <w:rPr>
          <w:b/>
        </w:rPr>
        <w:t>angemessene Kosten</w:t>
      </w:r>
      <w:r w:rsidRPr="00993152">
        <w:t xml:space="preserve"> hierfür übernommen.</w:t>
      </w:r>
      <w:r w:rsidR="0080684E" w:rsidRPr="00993152">
        <w:t xml:space="preserve"> Derzeit gelten im Landkreis Passau Kosten von bis zu 15 EUR pro Stunde noch als angemessen.</w:t>
      </w:r>
    </w:p>
    <w:p w:rsidR="006B5B10" w:rsidRPr="00993152" w:rsidRDefault="006B5B10" w:rsidP="006B5B10">
      <w:pPr>
        <w:pStyle w:val="Listenabsatz"/>
        <w:ind w:left="0"/>
        <w:contextualSpacing w:val="0"/>
        <w:jc w:val="both"/>
      </w:pPr>
    </w:p>
    <w:p w:rsidR="000A67B0" w:rsidRPr="00993152" w:rsidRDefault="0080684E" w:rsidP="006B5B10">
      <w:pPr>
        <w:jc w:val="both"/>
      </w:pPr>
      <w:r w:rsidRPr="00993152">
        <w:t xml:space="preserve">Als </w:t>
      </w:r>
      <w:r w:rsidRPr="00993152">
        <w:rPr>
          <w:b/>
        </w:rPr>
        <w:t>Nachweis</w:t>
      </w:r>
      <w:r w:rsidRPr="00993152">
        <w:t xml:space="preserve"> ist die </w:t>
      </w:r>
      <w:r w:rsidRPr="00993152">
        <w:rPr>
          <w:b/>
        </w:rPr>
        <w:t>Anlage Lernförderbedarf zum Antrag auf Leistungen für Bildung und Teilhabe</w:t>
      </w:r>
      <w:r w:rsidR="006B5B10" w:rsidRPr="00993152">
        <w:t xml:space="preserve">, in dem </w:t>
      </w:r>
      <w:r w:rsidRPr="00993152">
        <w:t>die</w:t>
      </w:r>
      <w:r w:rsidR="006B5B10" w:rsidRPr="00993152">
        <w:t xml:space="preserve"> Schule die Notwendigkeit der Lernförderung in bestimmten Fächern bestätig</w:t>
      </w:r>
      <w:r w:rsidRPr="00993152">
        <w:t>t,  erforderlich</w:t>
      </w:r>
      <w:r w:rsidR="006B5B10" w:rsidRPr="00993152">
        <w:t xml:space="preserve">. Diese Bestätigung </w:t>
      </w:r>
      <w:r w:rsidR="000A67B0" w:rsidRPr="00993152">
        <w:t>umfasst folgende Punkte:</w:t>
      </w:r>
    </w:p>
    <w:p w:rsidR="000A67B0" w:rsidRPr="00993152" w:rsidRDefault="000A67B0" w:rsidP="006B5B10">
      <w:pPr>
        <w:jc w:val="both"/>
      </w:pPr>
    </w:p>
    <w:p w:rsidR="000A67B0" w:rsidRPr="00993152" w:rsidRDefault="000A67B0" w:rsidP="000A67B0">
      <w:pPr>
        <w:tabs>
          <w:tab w:val="left" w:pos="234"/>
          <w:tab w:val="left" w:pos="2634"/>
          <w:tab w:val="left" w:pos="6034"/>
        </w:tabs>
        <w:spacing w:before="60" w:after="60"/>
        <w:rPr>
          <w:rFonts w:cs="Arial"/>
          <w:sz w:val="20"/>
          <w:szCs w:val="20"/>
        </w:rPr>
      </w:pPr>
      <w:r w:rsidRPr="00993152">
        <w:rPr>
          <w:rFonts w:cs="Arial"/>
          <w:sz w:val="20"/>
          <w:szCs w:val="20"/>
        </w:rPr>
        <w:t>„</w:t>
      </w:r>
      <w:r w:rsidR="00F95C9F" w:rsidRPr="00993152">
        <w:rPr>
          <w:rFonts w:cs="Arial"/>
          <w:sz w:val="20"/>
          <w:szCs w:val="20"/>
        </w:rPr>
        <w:fldChar w:fldCharType="begin">
          <w:ffData>
            <w:name w:val="Kontrollkästchen2"/>
            <w:enabled/>
            <w:calcOnExit w:val="0"/>
            <w:checkBox>
              <w:sizeAuto/>
              <w:default w:val="0"/>
            </w:checkBox>
          </w:ffData>
        </w:fldChar>
      </w:r>
      <w:r w:rsidRPr="00993152">
        <w:rPr>
          <w:rFonts w:cs="Arial"/>
          <w:sz w:val="20"/>
          <w:szCs w:val="20"/>
        </w:rPr>
        <w:instrText xml:space="preserve"> FORMCHECKBOX </w:instrText>
      </w:r>
      <w:r w:rsidR="005E5DD6">
        <w:rPr>
          <w:rFonts w:cs="Arial"/>
          <w:sz w:val="20"/>
          <w:szCs w:val="20"/>
        </w:rPr>
      </w:r>
      <w:r w:rsidR="005E5DD6">
        <w:rPr>
          <w:rFonts w:cs="Arial"/>
          <w:sz w:val="20"/>
          <w:szCs w:val="20"/>
        </w:rPr>
        <w:fldChar w:fldCharType="separate"/>
      </w:r>
      <w:r w:rsidR="00F95C9F" w:rsidRPr="00993152">
        <w:rPr>
          <w:rFonts w:cs="Arial"/>
          <w:sz w:val="20"/>
          <w:szCs w:val="20"/>
        </w:rPr>
        <w:fldChar w:fldCharType="end"/>
      </w:r>
      <w:r w:rsidRPr="00993152">
        <w:rPr>
          <w:rFonts w:cs="Arial"/>
          <w:sz w:val="20"/>
          <w:szCs w:val="20"/>
        </w:rPr>
        <w:t xml:space="preserve"> Das Erreichen der wesentlichen Lernziele (im Regelfall die Versetzung) ist gefährdet.</w:t>
      </w:r>
    </w:p>
    <w:p w:rsidR="000A67B0" w:rsidRPr="00993152" w:rsidRDefault="000A67B0" w:rsidP="000A67B0">
      <w:pPr>
        <w:tabs>
          <w:tab w:val="left" w:pos="234"/>
          <w:tab w:val="left" w:pos="2634"/>
          <w:tab w:val="left" w:pos="6034"/>
        </w:tabs>
        <w:spacing w:before="60" w:after="60"/>
        <w:rPr>
          <w:rFonts w:cs="Arial"/>
          <w:sz w:val="20"/>
          <w:szCs w:val="20"/>
        </w:rPr>
      </w:pPr>
      <w:r w:rsidRPr="00993152">
        <w:rPr>
          <w:rFonts w:cs="Arial"/>
          <w:sz w:val="20"/>
          <w:szCs w:val="20"/>
        </w:rPr>
        <w:t xml:space="preserve"> </w:t>
      </w:r>
      <w:r w:rsidR="00F95C9F" w:rsidRPr="00993152">
        <w:rPr>
          <w:rFonts w:cs="Arial"/>
          <w:sz w:val="20"/>
          <w:szCs w:val="20"/>
        </w:rPr>
        <w:fldChar w:fldCharType="begin">
          <w:ffData>
            <w:name w:val="Kontrollkästchen2"/>
            <w:enabled/>
            <w:calcOnExit w:val="0"/>
            <w:checkBox>
              <w:sizeAuto/>
              <w:default w:val="0"/>
            </w:checkBox>
          </w:ffData>
        </w:fldChar>
      </w:r>
      <w:r w:rsidRPr="00993152">
        <w:rPr>
          <w:rFonts w:cs="Arial"/>
          <w:sz w:val="20"/>
          <w:szCs w:val="20"/>
        </w:rPr>
        <w:instrText xml:space="preserve"> FORMCHECKBOX </w:instrText>
      </w:r>
      <w:r w:rsidR="005E5DD6">
        <w:rPr>
          <w:rFonts w:cs="Arial"/>
          <w:sz w:val="20"/>
          <w:szCs w:val="20"/>
        </w:rPr>
      </w:r>
      <w:r w:rsidR="005E5DD6">
        <w:rPr>
          <w:rFonts w:cs="Arial"/>
          <w:sz w:val="20"/>
          <w:szCs w:val="20"/>
        </w:rPr>
        <w:fldChar w:fldCharType="separate"/>
      </w:r>
      <w:r w:rsidR="00F95C9F" w:rsidRPr="00993152">
        <w:rPr>
          <w:rFonts w:cs="Arial"/>
          <w:sz w:val="20"/>
          <w:szCs w:val="20"/>
        </w:rPr>
        <w:fldChar w:fldCharType="end"/>
      </w:r>
      <w:r w:rsidRPr="00993152">
        <w:rPr>
          <w:rFonts w:cs="Arial"/>
          <w:sz w:val="20"/>
          <w:szCs w:val="20"/>
        </w:rPr>
        <w:t xml:space="preserve"> Im Falle der Erteilung von Nachhilfeunterricht besteht eine positive Versetzungsprognose.</w:t>
      </w:r>
    </w:p>
    <w:p w:rsidR="000A67B0" w:rsidRPr="00993152" w:rsidRDefault="000A67B0" w:rsidP="000A67B0">
      <w:pPr>
        <w:tabs>
          <w:tab w:val="left" w:pos="234"/>
          <w:tab w:val="left" w:pos="2634"/>
          <w:tab w:val="left" w:pos="6034"/>
        </w:tabs>
        <w:spacing w:before="60" w:after="60"/>
        <w:rPr>
          <w:rFonts w:cs="Arial"/>
          <w:sz w:val="20"/>
          <w:szCs w:val="20"/>
        </w:rPr>
      </w:pPr>
      <w:r w:rsidRPr="00993152">
        <w:rPr>
          <w:rFonts w:cs="Arial"/>
          <w:sz w:val="20"/>
          <w:szCs w:val="20"/>
        </w:rPr>
        <w:t xml:space="preserve"> </w:t>
      </w:r>
      <w:r w:rsidR="00F95C9F" w:rsidRPr="00993152">
        <w:rPr>
          <w:rFonts w:cs="Arial"/>
          <w:sz w:val="20"/>
          <w:szCs w:val="20"/>
        </w:rPr>
        <w:fldChar w:fldCharType="begin">
          <w:ffData>
            <w:name w:val="Kontrollkästchen2"/>
            <w:enabled/>
            <w:calcOnExit w:val="0"/>
            <w:checkBox>
              <w:sizeAuto/>
              <w:default w:val="0"/>
            </w:checkBox>
          </w:ffData>
        </w:fldChar>
      </w:r>
      <w:r w:rsidRPr="00993152">
        <w:rPr>
          <w:rFonts w:cs="Arial"/>
          <w:sz w:val="20"/>
          <w:szCs w:val="20"/>
        </w:rPr>
        <w:instrText xml:space="preserve"> FORMCHECKBOX </w:instrText>
      </w:r>
      <w:r w:rsidR="005E5DD6">
        <w:rPr>
          <w:rFonts w:cs="Arial"/>
          <w:sz w:val="20"/>
          <w:szCs w:val="20"/>
        </w:rPr>
      </w:r>
      <w:r w:rsidR="005E5DD6">
        <w:rPr>
          <w:rFonts w:cs="Arial"/>
          <w:sz w:val="20"/>
          <w:szCs w:val="20"/>
        </w:rPr>
        <w:fldChar w:fldCharType="separate"/>
      </w:r>
      <w:r w:rsidR="00F95C9F" w:rsidRPr="00993152">
        <w:rPr>
          <w:rFonts w:cs="Arial"/>
          <w:sz w:val="20"/>
          <w:szCs w:val="20"/>
        </w:rPr>
        <w:fldChar w:fldCharType="end"/>
      </w:r>
      <w:r w:rsidRPr="00993152">
        <w:rPr>
          <w:rFonts w:cs="Arial"/>
          <w:sz w:val="20"/>
          <w:szCs w:val="20"/>
        </w:rPr>
        <w:t xml:space="preserve"> Die Leistungsschwäche ist </w:t>
      </w:r>
      <w:r w:rsidRPr="00993152">
        <w:rPr>
          <w:rFonts w:cs="Arial"/>
          <w:b/>
          <w:sz w:val="20"/>
          <w:szCs w:val="20"/>
        </w:rPr>
        <w:t>nicht</w:t>
      </w:r>
      <w:r w:rsidRPr="00993152">
        <w:rPr>
          <w:rFonts w:cs="Arial"/>
          <w:sz w:val="20"/>
          <w:szCs w:val="20"/>
        </w:rPr>
        <w:t xml:space="preserve"> auf unentschuldigte Fehlzeiten oder anhaltendes Fehlverhalten </w:t>
      </w:r>
      <w:r w:rsidRPr="00993152">
        <w:rPr>
          <w:rFonts w:cs="Arial"/>
          <w:sz w:val="20"/>
          <w:szCs w:val="20"/>
        </w:rPr>
        <w:tab/>
      </w:r>
      <w:r w:rsidRPr="00993152">
        <w:rPr>
          <w:rFonts w:cs="Arial"/>
          <w:sz w:val="20"/>
          <w:szCs w:val="20"/>
        </w:rPr>
        <w:tab/>
      </w:r>
      <w:r w:rsidRPr="00993152">
        <w:rPr>
          <w:rFonts w:cs="Arial"/>
          <w:sz w:val="20"/>
          <w:szCs w:val="20"/>
        </w:rPr>
        <w:tab/>
        <w:t xml:space="preserve"> zurückzuführen.</w:t>
      </w:r>
    </w:p>
    <w:p w:rsidR="000A67B0" w:rsidRPr="00993152" w:rsidRDefault="000A67B0" w:rsidP="000A67B0">
      <w:pPr>
        <w:tabs>
          <w:tab w:val="left" w:pos="234"/>
          <w:tab w:val="left" w:pos="2634"/>
          <w:tab w:val="left" w:pos="6034"/>
        </w:tabs>
        <w:spacing w:before="60" w:after="60"/>
        <w:rPr>
          <w:rFonts w:cs="Arial"/>
          <w:sz w:val="20"/>
          <w:szCs w:val="20"/>
        </w:rPr>
      </w:pPr>
      <w:r w:rsidRPr="00993152">
        <w:rPr>
          <w:rFonts w:cs="Arial"/>
          <w:sz w:val="20"/>
          <w:szCs w:val="20"/>
        </w:rPr>
        <w:t xml:space="preserve"> </w:t>
      </w:r>
      <w:r w:rsidR="00F95C9F" w:rsidRPr="00993152">
        <w:rPr>
          <w:rFonts w:cs="Arial"/>
          <w:sz w:val="20"/>
          <w:szCs w:val="20"/>
        </w:rPr>
        <w:fldChar w:fldCharType="begin">
          <w:ffData>
            <w:name w:val="Kontrollkästchen2"/>
            <w:enabled/>
            <w:calcOnExit w:val="0"/>
            <w:checkBox>
              <w:sizeAuto/>
              <w:default w:val="0"/>
            </w:checkBox>
          </w:ffData>
        </w:fldChar>
      </w:r>
      <w:r w:rsidRPr="00993152">
        <w:rPr>
          <w:rFonts w:cs="Arial"/>
          <w:sz w:val="20"/>
          <w:szCs w:val="20"/>
        </w:rPr>
        <w:instrText xml:space="preserve"> FORMCHECKBOX </w:instrText>
      </w:r>
      <w:r w:rsidR="005E5DD6">
        <w:rPr>
          <w:rFonts w:cs="Arial"/>
          <w:sz w:val="20"/>
          <w:szCs w:val="20"/>
        </w:rPr>
      </w:r>
      <w:r w:rsidR="005E5DD6">
        <w:rPr>
          <w:rFonts w:cs="Arial"/>
          <w:sz w:val="20"/>
          <w:szCs w:val="20"/>
        </w:rPr>
        <w:fldChar w:fldCharType="separate"/>
      </w:r>
      <w:r w:rsidR="00F95C9F" w:rsidRPr="00993152">
        <w:rPr>
          <w:rFonts w:cs="Arial"/>
          <w:sz w:val="20"/>
          <w:szCs w:val="20"/>
        </w:rPr>
        <w:fldChar w:fldCharType="end"/>
      </w:r>
      <w:r w:rsidRPr="00993152">
        <w:rPr>
          <w:rFonts w:cs="Arial"/>
          <w:sz w:val="20"/>
          <w:szCs w:val="20"/>
        </w:rPr>
        <w:t xml:space="preserve"> Geeignete kostenfreie schulische Angebote bestehen nicht.“</w:t>
      </w:r>
    </w:p>
    <w:p w:rsidR="000A67B0" w:rsidRPr="00993152" w:rsidRDefault="000A67B0" w:rsidP="000A67B0">
      <w:pPr>
        <w:tabs>
          <w:tab w:val="left" w:pos="234"/>
          <w:tab w:val="left" w:pos="2634"/>
          <w:tab w:val="left" w:pos="6034"/>
        </w:tabs>
        <w:spacing w:before="60" w:after="60"/>
        <w:rPr>
          <w:rFonts w:cs="Arial"/>
          <w:sz w:val="20"/>
          <w:szCs w:val="20"/>
        </w:rPr>
      </w:pPr>
    </w:p>
    <w:p w:rsidR="000A67B0" w:rsidRPr="00993152" w:rsidRDefault="000A67B0" w:rsidP="000A67B0">
      <w:pPr>
        <w:tabs>
          <w:tab w:val="left" w:pos="234"/>
          <w:tab w:val="left" w:pos="2634"/>
          <w:tab w:val="left" w:pos="6034"/>
        </w:tabs>
        <w:spacing w:before="60" w:after="60"/>
        <w:jc w:val="both"/>
        <w:rPr>
          <w:rFonts w:cs="Arial"/>
        </w:rPr>
      </w:pPr>
      <w:r w:rsidRPr="00993152">
        <w:rPr>
          <w:rFonts w:cs="Arial"/>
        </w:rPr>
        <w:t>Nur wenn alle 4 Punkte angekreuzt sind besteht ein Anspruch auf Lernförderung.</w:t>
      </w:r>
    </w:p>
    <w:p w:rsidR="000A67B0" w:rsidRPr="00993152" w:rsidRDefault="000A67B0" w:rsidP="000A67B0">
      <w:pPr>
        <w:tabs>
          <w:tab w:val="left" w:pos="234"/>
          <w:tab w:val="left" w:pos="2634"/>
          <w:tab w:val="left" w:pos="6034"/>
        </w:tabs>
        <w:spacing w:before="60" w:after="60"/>
        <w:jc w:val="both"/>
        <w:rPr>
          <w:rFonts w:cs="Arial"/>
        </w:rPr>
      </w:pPr>
      <w:r w:rsidRPr="00993152">
        <w:rPr>
          <w:rFonts w:cs="Arial"/>
        </w:rPr>
        <w:t>Bestehen Zweifel an der Richtigkeit oder die Vermutung, dass die Fragen von der Lehrkraft nicht richtig verstanden wurden, soll vom Jobcenter bei der Lehrkraft zu den zweifelhaften Punkten nachgefragt werden, damit unnötige Ablehnungen unterbleiben.</w:t>
      </w:r>
    </w:p>
    <w:p w:rsidR="006B5B10" w:rsidRPr="00993152" w:rsidRDefault="006B5B10" w:rsidP="006B5B10">
      <w:pPr>
        <w:jc w:val="both"/>
      </w:pPr>
    </w:p>
    <w:p w:rsidR="006B5B10" w:rsidRPr="00993152" w:rsidRDefault="0080684E" w:rsidP="006B5B10">
      <w:pPr>
        <w:jc w:val="both"/>
      </w:pPr>
      <w:r w:rsidRPr="00993152">
        <w:t>D</w:t>
      </w:r>
      <w:r w:rsidR="006B5B10" w:rsidRPr="00993152">
        <w:t xml:space="preserve">ie Auswahl des Anbieters der Lernförderung </w:t>
      </w:r>
      <w:r w:rsidRPr="00993152">
        <w:t xml:space="preserve">wird grundsätzlich den Leistungsberechtigten selbst überlassen. </w:t>
      </w:r>
    </w:p>
    <w:p w:rsidR="006B5B10" w:rsidRPr="00993152" w:rsidRDefault="006B5B10" w:rsidP="006B5B10">
      <w:pPr>
        <w:jc w:val="both"/>
      </w:pPr>
    </w:p>
    <w:p w:rsidR="006B5B10" w:rsidRPr="00993152" w:rsidRDefault="006B5B10" w:rsidP="006B5B10">
      <w:pPr>
        <w:pStyle w:val="Listenabsatz"/>
        <w:ind w:left="0"/>
        <w:contextualSpacing w:val="0"/>
        <w:jc w:val="both"/>
      </w:pPr>
      <w:r w:rsidRPr="00993152">
        <w:t xml:space="preserve">Wenn Leistungen für Lernförderung für </w:t>
      </w:r>
      <w:r w:rsidR="0080684E" w:rsidRPr="00993152">
        <w:t>ein</w:t>
      </w:r>
      <w:r w:rsidRPr="00993152">
        <w:t xml:space="preserve"> förderbedürftiges Kind bewilligt werden, </w:t>
      </w:r>
      <w:r w:rsidR="0080684E" w:rsidRPr="00993152">
        <w:t xml:space="preserve">rechnet das </w:t>
      </w:r>
      <w:r w:rsidRPr="00993152">
        <w:t xml:space="preserve"> Jobcenter</w:t>
      </w:r>
      <w:r w:rsidR="0080684E" w:rsidRPr="00993152">
        <w:t xml:space="preserve"> nach Vorlage der Rechnung </w:t>
      </w:r>
      <w:r w:rsidRPr="00993152">
        <w:t xml:space="preserve"> die  Kosten bis zum bewilligten Umfang direkt mit dem Anbieter ab.</w:t>
      </w:r>
    </w:p>
    <w:p w:rsidR="004A157B" w:rsidRPr="00993152" w:rsidRDefault="004A157B" w:rsidP="006B5B10">
      <w:pPr>
        <w:pStyle w:val="Listenabsatz"/>
        <w:ind w:left="0"/>
        <w:contextualSpacing w:val="0"/>
        <w:jc w:val="both"/>
      </w:pPr>
    </w:p>
    <w:p w:rsidR="004A157B" w:rsidRPr="00F23F1A" w:rsidRDefault="004A157B" w:rsidP="006B5B10">
      <w:pPr>
        <w:pStyle w:val="Listenabsatz"/>
        <w:ind w:left="0"/>
        <w:contextualSpacing w:val="0"/>
        <w:jc w:val="both"/>
      </w:pPr>
      <w:r w:rsidRPr="00F23F1A">
        <w:t>Nähere Hinweise zur Lernförderung können de</w:t>
      </w:r>
      <w:r w:rsidR="003352FE" w:rsidRPr="00F23F1A">
        <w:t>m</w:t>
      </w:r>
      <w:r w:rsidRPr="00F23F1A">
        <w:t xml:space="preserve"> Schreiben des StMAS Bayern vom </w:t>
      </w:r>
      <w:r w:rsidR="00993152" w:rsidRPr="00F23F1A">
        <w:t>06.02.2014</w:t>
      </w:r>
      <w:r w:rsidRPr="00F23F1A">
        <w:t>, AZ. I 3/6074.04-1/137 entnommen werden.</w:t>
      </w:r>
    </w:p>
    <w:p w:rsidR="00496F23" w:rsidRPr="00F23F1A" w:rsidRDefault="00496F23" w:rsidP="005167F3">
      <w:pPr>
        <w:pStyle w:val="Listenabsatz"/>
        <w:ind w:left="0"/>
        <w:jc w:val="both"/>
      </w:pPr>
    </w:p>
    <w:p w:rsidR="00496F23" w:rsidRDefault="00496F23" w:rsidP="005167F3">
      <w:pPr>
        <w:pStyle w:val="Listenabsatz"/>
        <w:ind w:left="0"/>
        <w:jc w:val="both"/>
      </w:pPr>
    </w:p>
    <w:p w:rsidR="001D2AF9" w:rsidRDefault="001D2AF9" w:rsidP="005167F3">
      <w:pPr>
        <w:pStyle w:val="Listenabsatz"/>
        <w:ind w:left="0"/>
        <w:jc w:val="both"/>
      </w:pPr>
    </w:p>
    <w:p w:rsidR="001D2AF9" w:rsidRDefault="001D2AF9" w:rsidP="005167F3">
      <w:pPr>
        <w:pStyle w:val="Listenabsatz"/>
        <w:ind w:left="0"/>
        <w:jc w:val="both"/>
      </w:pPr>
    </w:p>
    <w:p w:rsidR="001D2AF9" w:rsidRDefault="001D2AF9" w:rsidP="005167F3">
      <w:pPr>
        <w:pStyle w:val="Listenabsatz"/>
        <w:ind w:left="0"/>
        <w:jc w:val="both"/>
      </w:pPr>
    </w:p>
    <w:p w:rsidR="001D2AF9" w:rsidRPr="00993152" w:rsidRDefault="001D2AF9" w:rsidP="005167F3">
      <w:pPr>
        <w:pStyle w:val="Listenabsatz"/>
        <w:ind w:left="0"/>
        <w:jc w:val="both"/>
      </w:pPr>
    </w:p>
    <w:p w:rsidR="00496F23" w:rsidRPr="00993152" w:rsidRDefault="009E372E" w:rsidP="00E5033E">
      <w:pPr>
        <w:pStyle w:val="berschrift1"/>
        <w:numPr>
          <w:ilvl w:val="0"/>
          <w:numId w:val="22"/>
        </w:numPr>
        <w:rPr>
          <w:sz w:val="24"/>
          <w:szCs w:val="24"/>
        </w:rPr>
      </w:pPr>
      <w:r w:rsidRPr="00993152">
        <w:rPr>
          <w:sz w:val="24"/>
          <w:szCs w:val="24"/>
        </w:rPr>
        <w:lastRenderedPageBreak/>
        <w:t>Gemeinschaftliche Mittagsverpflegung (§</w:t>
      </w:r>
      <w:r w:rsidR="00736C46" w:rsidRPr="00993152">
        <w:rPr>
          <w:sz w:val="24"/>
          <w:szCs w:val="24"/>
        </w:rPr>
        <w:t xml:space="preserve"> </w:t>
      </w:r>
      <w:r w:rsidRPr="00993152">
        <w:rPr>
          <w:sz w:val="24"/>
          <w:szCs w:val="24"/>
        </w:rPr>
        <w:t>28 Abs. 6 SGB II)</w:t>
      </w:r>
    </w:p>
    <w:p w:rsidR="00496F23" w:rsidRPr="00993152" w:rsidRDefault="00496F23" w:rsidP="005167F3">
      <w:pPr>
        <w:pStyle w:val="Listenabsatz"/>
        <w:ind w:left="0"/>
        <w:jc w:val="both"/>
      </w:pPr>
    </w:p>
    <w:p w:rsidR="00496F23" w:rsidRPr="00993152" w:rsidRDefault="00496F23" w:rsidP="005167F3">
      <w:pPr>
        <w:pStyle w:val="Listenabsatz"/>
        <w:ind w:left="0"/>
        <w:jc w:val="both"/>
      </w:pPr>
    </w:p>
    <w:p w:rsidR="0020399A" w:rsidRPr="00993152" w:rsidRDefault="0020399A" w:rsidP="0020399A">
      <w:pPr>
        <w:jc w:val="both"/>
      </w:pPr>
      <w:r w:rsidRPr="00993152">
        <w:rPr>
          <w:b/>
        </w:rPr>
        <w:t>Leistungsberechtigt sind Schülerinnen und Schüler</w:t>
      </w:r>
      <w:r w:rsidRPr="00993152">
        <w:t xml:space="preserve">, die eine allgemein- oder berufsbildende Schule besuchen, wenn sie </w:t>
      </w:r>
      <w:r w:rsidRPr="00993152">
        <w:rPr>
          <w:b/>
        </w:rPr>
        <w:t>jünger als 25 Jahre</w:t>
      </w:r>
      <w:r w:rsidRPr="00993152">
        <w:t xml:space="preserve"> sind und Kinder, die eine</w:t>
      </w:r>
      <w:r w:rsidRPr="00993152">
        <w:rPr>
          <w:b/>
        </w:rPr>
        <w:t xml:space="preserve"> Kindertageseinrichtung</w:t>
      </w:r>
      <w:r w:rsidRPr="00993152">
        <w:t xml:space="preserve"> besuchen</w:t>
      </w:r>
      <w:r w:rsidR="00D7366F" w:rsidRPr="00993152">
        <w:t>, oder für die Kindertagespflege geleistet wird oder für</w:t>
      </w:r>
    </w:p>
    <w:p w:rsidR="0020399A" w:rsidRPr="00993152" w:rsidRDefault="0020399A" w:rsidP="0020399A">
      <w:pPr>
        <w:jc w:val="both"/>
      </w:pPr>
      <w:r w:rsidRPr="00993152">
        <w:t>Berufsschüler</w:t>
      </w:r>
      <w:r w:rsidR="004A157B" w:rsidRPr="00993152">
        <w:t>. Schüler</w:t>
      </w:r>
      <w:r w:rsidRPr="00993152">
        <w:t xml:space="preserve"> die eine Ausbildungsvergütung erhalten, sind von der Leistung ausgeschlossen.</w:t>
      </w:r>
    </w:p>
    <w:p w:rsidR="004A157B" w:rsidRPr="00993152" w:rsidRDefault="004A157B" w:rsidP="0020399A">
      <w:pPr>
        <w:jc w:val="both"/>
      </w:pPr>
    </w:p>
    <w:p w:rsidR="004A157B" w:rsidRPr="00993152" w:rsidRDefault="004A157B" w:rsidP="004A157B">
      <w:pPr>
        <w:pStyle w:val="Listenabsatz"/>
        <w:ind w:left="0"/>
        <w:contextualSpacing w:val="0"/>
        <w:jc w:val="both"/>
      </w:pPr>
      <w:r w:rsidRPr="00993152">
        <w:t>Ebenso können Kinder die Leistungen der Eingliederungshilfe (§ 54 SGB XII) in Heilpädagogischen und Sonderpädagogischen Tagesstätten erhalten Anspruch auf  diese Leistungen haben, nicht jedoch Kinder die Hilfe zur Erziehung in einer Tagesgruppe nach § 32 SGB VIII erhalten (vgl. Schreiben StMAS Bayern vom 24.07.2012, Az.VI 1/6541.01-1/151).</w:t>
      </w:r>
    </w:p>
    <w:p w:rsidR="004A157B" w:rsidRPr="00993152" w:rsidRDefault="004A157B" w:rsidP="0020399A">
      <w:pPr>
        <w:jc w:val="both"/>
      </w:pPr>
    </w:p>
    <w:p w:rsidR="0020399A" w:rsidRPr="00993152" w:rsidRDefault="0020399A" w:rsidP="0020399A">
      <w:pPr>
        <w:pStyle w:val="Listenabsatz"/>
        <w:ind w:left="0"/>
        <w:contextualSpacing w:val="0"/>
        <w:jc w:val="both"/>
      </w:pPr>
      <w:r w:rsidRPr="00993152">
        <w:t xml:space="preserve">Erbracht wird ein monatlicher </w:t>
      </w:r>
      <w:r w:rsidRPr="00993152">
        <w:rPr>
          <w:b/>
        </w:rPr>
        <w:t>Zuschuss</w:t>
      </w:r>
      <w:r w:rsidRPr="00993152">
        <w:t xml:space="preserve"> zu den Kosten für die Teilnahme an einer gemeinschaftlichen Mittagsverpflegung. </w:t>
      </w:r>
      <w:r w:rsidR="009660E5" w:rsidRPr="00993152">
        <w:t xml:space="preserve">Kraft Gesetzes ist </w:t>
      </w:r>
      <w:r w:rsidRPr="00993152">
        <w:t xml:space="preserve">ein  </w:t>
      </w:r>
      <w:r w:rsidRPr="00993152">
        <w:rPr>
          <w:b/>
        </w:rPr>
        <w:t>Eigenanteil</w:t>
      </w:r>
      <w:r w:rsidRPr="00993152">
        <w:t xml:space="preserve"> in Höhe von 1</w:t>
      </w:r>
      <w:r w:rsidRPr="00993152">
        <w:rPr>
          <w:b/>
        </w:rPr>
        <w:t xml:space="preserve"> Euro pro Mittagessen</w:t>
      </w:r>
      <w:r w:rsidRPr="00993152">
        <w:t xml:space="preserve"> von den LB selbst zu übernehmen (§ 5 a </w:t>
      </w:r>
      <w:r w:rsidR="009660E5" w:rsidRPr="00993152">
        <w:t>Nr.</w:t>
      </w:r>
      <w:r w:rsidRPr="00993152">
        <w:t xml:space="preserve"> 3 ALG II –VO i.</w:t>
      </w:r>
      <w:r w:rsidR="009660E5" w:rsidRPr="00993152">
        <w:t>V</w:t>
      </w:r>
      <w:r w:rsidRPr="00993152">
        <w:t>.m. § 9 RB</w:t>
      </w:r>
      <w:r w:rsidR="009660E5" w:rsidRPr="00993152">
        <w:t>E</w:t>
      </w:r>
      <w:r w:rsidRPr="00993152">
        <w:t>G</w:t>
      </w:r>
      <w:r w:rsidR="009660E5" w:rsidRPr="00993152">
        <w:t>)</w:t>
      </w:r>
      <w:r w:rsidRPr="00993152">
        <w:t>. Verpflegung, die am Kiosk gekauft werden kann wird nicht bezuschusst.</w:t>
      </w:r>
    </w:p>
    <w:p w:rsidR="0020399A" w:rsidRPr="00993152" w:rsidRDefault="0020399A" w:rsidP="0020399A">
      <w:pPr>
        <w:pStyle w:val="Listenabsatz"/>
        <w:ind w:left="0"/>
        <w:contextualSpacing w:val="0"/>
        <w:jc w:val="both"/>
      </w:pPr>
    </w:p>
    <w:p w:rsidR="0020399A" w:rsidRPr="00993152" w:rsidRDefault="009660E5" w:rsidP="0020399A">
      <w:pPr>
        <w:jc w:val="both"/>
      </w:pPr>
      <w:r w:rsidRPr="00993152">
        <w:t xml:space="preserve">Als </w:t>
      </w:r>
      <w:r w:rsidRPr="00993152">
        <w:rPr>
          <w:b/>
        </w:rPr>
        <w:t>Nachweis</w:t>
      </w:r>
      <w:r w:rsidRPr="00993152">
        <w:t xml:space="preserve"> ist m</w:t>
      </w:r>
      <w:r w:rsidR="0020399A" w:rsidRPr="00993152">
        <w:t xml:space="preserve">it der Antragstellung  </w:t>
      </w:r>
      <w:r w:rsidR="00AB6669" w:rsidRPr="00993152">
        <w:t xml:space="preserve">vorzugsweise das Formblatt </w:t>
      </w:r>
      <w:r w:rsidR="00AB6669" w:rsidRPr="00993152">
        <w:rPr>
          <w:i/>
        </w:rPr>
        <w:t>„Bestätigung der Schule/Kindertagesstätte/Kindertagespflege“</w:t>
      </w:r>
      <w:r w:rsidR="00D7366F" w:rsidRPr="00993152">
        <w:rPr>
          <w:i/>
        </w:rPr>
        <w:t>,</w:t>
      </w:r>
      <w:r w:rsidR="00AB6669" w:rsidRPr="00993152">
        <w:t xml:space="preserve"> </w:t>
      </w:r>
      <w:r w:rsidR="0020399A" w:rsidRPr="00993152">
        <w:t xml:space="preserve">die </w:t>
      </w:r>
      <w:r w:rsidR="0020399A" w:rsidRPr="00993152">
        <w:rPr>
          <w:b/>
        </w:rPr>
        <w:t>Anmeldung</w:t>
      </w:r>
      <w:r w:rsidR="0020399A" w:rsidRPr="00993152">
        <w:t xml:space="preserve"> zur Mittagsverpflegung oder ein anderer geeigneter Nachweis vorzulegen. Der Nachweis muss den Namen des Kindes, den Namen der Schule bzw. Kindertageseinrichtung  und den Zeitraum enthalten, für den das Kind angemeldet ist.</w:t>
      </w:r>
    </w:p>
    <w:p w:rsidR="0020399A" w:rsidRPr="00993152" w:rsidRDefault="0020399A" w:rsidP="0020399A">
      <w:pPr>
        <w:jc w:val="both"/>
      </w:pPr>
    </w:p>
    <w:p w:rsidR="0020399A" w:rsidRPr="00993152" w:rsidRDefault="0020399A" w:rsidP="0020399A">
      <w:pPr>
        <w:jc w:val="both"/>
      </w:pPr>
      <w:r w:rsidRPr="00993152">
        <w:t xml:space="preserve">Soweit  der Zuschuss zur Mittagsverpflegung bewilligt wird, </w:t>
      </w:r>
      <w:r w:rsidR="009660E5" w:rsidRPr="00993152">
        <w:t>ist der</w:t>
      </w:r>
      <w:r w:rsidRPr="00993152">
        <w:t xml:space="preserve"> Bewilligungsbescheid vom </w:t>
      </w:r>
      <w:r w:rsidR="009660E5" w:rsidRPr="00993152">
        <w:t xml:space="preserve">LB selbst </w:t>
      </w:r>
      <w:r w:rsidRPr="00993152">
        <w:t xml:space="preserve"> beim Anbieter (Schule/Kindertageseinrichtung) vo</w:t>
      </w:r>
      <w:r w:rsidR="009660E5" w:rsidRPr="00993152">
        <w:t>rzulegen</w:t>
      </w:r>
      <w:r w:rsidRPr="00993152">
        <w:t xml:space="preserve">. Die Abrechnung der Kosten </w:t>
      </w:r>
      <w:r w:rsidR="00AB6669" w:rsidRPr="00993152">
        <w:t xml:space="preserve">für den Bewilligungszeitraum </w:t>
      </w:r>
      <w:r w:rsidRPr="00993152">
        <w:t xml:space="preserve">erfolgt dann direkt zwischen Anbieter und Jobcenter. </w:t>
      </w:r>
    </w:p>
    <w:p w:rsidR="00AB6669" w:rsidRPr="00993152" w:rsidRDefault="00AB6669" w:rsidP="0020399A">
      <w:pPr>
        <w:jc w:val="both"/>
      </w:pPr>
      <w:r w:rsidRPr="00993152">
        <w:t>Hierbei sind die Abrechnungszeiträume von Anbieter zu Anbieter unterschiedlich und können gesondert vereinbart werden (pauschal, Einzelabrechnung, mtl. im Voraus oder im Nachhinein).</w:t>
      </w:r>
    </w:p>
    <w:p w:rsidR="008621C9" w:rsidRPr="00993152" w:rsidRDefault="008621C9" w:rsidP="0020399A">
      <w:pPr>
        <w:jc w:val="both"/>
      </w:pPr>
    </w:p>
    <w:p w:rsidR="008621C9" w:rsidRPr="00993152" w:rsidRDefault="00D7366F" w:rsidP="0020399A">
      <w:pPr>
        <w:jc w:val="both"/>
      </w:pPr>
      <w:r w:rsidRPr="00993152">
        <w:t>D</w:t>
      </w:r>
      <w:r w:rsidR="008621C9" w:rsidRPr="00993152">
        <w:t>ie Bearbeitung von Anträgen</w:t>
      </w:r>
      <w:r w:rsidRPr="00993152">
        <w:t xml:space="preserve"> für SGB II Empfänger</w:t>
      </w:r>
      <w:r w:rsidR="008621C9" w:rsidRPr="00993152">
        <w:t xml:space="preserve"> auf Mittagessen in Horten, Kindergärten und in Tagespflege</w:t>
      </w:r>
      <w:r w:rsidR="00703019" w:rsidRPr="00993152">
        <w:t xml:space="preserve"> erfolgt</w:t>
      </w:r>
      <w:r w:rsidR="008621C9" w:rsidRPr="00993152">
        <w:t xml:space="preserve"> im Jobcenter. </w:t>
      </w:r>
    </w:p>
    <w:p w:rsidR="00D7366F" w:rsidRPr="00993152" w:rsidRDefault="00D7366F" w:rsidP="0020399A">
      <w:pPr>
        <w:jc w:val="both"/>
      </w:pPr>
    </w:p>
    <w:p w:rsidR="0006634F" w:rsidRPr="00E01D59" w:rsidRDefault="008621C9" w:rsidP="0020399A">
      <w:pPr>
        <w:jc w:val="both"/>
      </w:pPr>
      <w:r w:rsidRPr="00E01D59">
        <w:rPr>
          <w:u w:val="single"/>
        </w:rPr>
        <w:t>Achtung:</w:t>
      </w:r>
      <w:r w:rsidRPr="00E01D59">
        <w:t xml:space="preserve"> </w:t>
      </w:r>
      <w:r w:rsidR="00244CD1" w:rsidRPr="00E01D59">
        <w:t xml:space="preserve"> </w:t>
      </w:r>
      <w:r w:rsidR="00244CD1" w:rsidRPr="00E01D59">
        <w:rPr>
          <w:u w:val="single"/>
        </w:rPr>
        <w:t>Nur w</w:t>
      </w:r>
      <w:r w:rsidR="0006634F" w:rsidRPr="00E01D59">
        <w:rPr>
          <w:u w:val="single"/>
        </w:rPr>
        <w:t>enn</w:t>
      </w:r>
      <w:r w:rsidR="0006634F" w:rsidRPr="00E01D59">
        <w:t xml:space="preserve"> das Mittagessen im Hort oder Kindergarten </w:t>
      </w:r>
      <w:r w:rsidR="0006634F" w:rsidRPr="00E01D59">
        <w:rPr>
          <w:u w:val="single"/>
        </w:rPr>
        <w:t>in schulischer</w:t>
      </w:r>
      <w:r w:rsidR="0006634F" w:rsidRPr="00E01D59">
        <w:t xml:space="preserve"> </w:t>
      </w:r>
      <w:r w:rsidR="0006634F" w:rsidRPr="00E01D59">
        <w:rPr>
          <w:u w:val="single"/>
        </w:rPr>
        <w:t>Verantwortung angeboten wird</w:t>
      </w:r>
      <w:r w:rsidR="0006634F" w:rsidRPr="00E01D59">
        <w:t xml:space="preserve"> und eine entsprechende Vereinbarung zwischen Schule und Kindertageseinrichtung abgeschlossen wurde, können </w:t>
      </w:r>
      <w:r w:rsidR="002B2883">
        <w:t>seit</w:t>
      </w:r>
      <w:r w:rsidR="0006634F" w:rsidRPr="00E01D59">
        <w:t xml:space="preserve"> 01.01.2014 </w:t>
      </w:r>
      <w:r w:rsidR="00244CD1" w:rsidRPr="00E01D59">
        <w:t xml:space="preserve">bzw. ab Abschluss der Vereinbarung </w:t>
      </w:r>
      <w:r w:rsidR="0006634F" w:rsidRPr="00E01D59">
        <w:t>die Leistungen für diesen Personenkreis weitergewährt</w:t>
      </w:r>
      <w:r w:rsidR="00244CD1" w:rsidRPr="00E01D59">
        <w:t>/gewährt</w:t>
      </w:r>
      <w:r w:rsidR="0006634F" w:rsidRPr="00E01D59">
        <w:t xml:space="preserve"> werden. </w:t>
      </w:r>
    </w:p>
    <w:p w:rsidR="005B3295" w:rsidRPr="00E01D59" w:rsidRDefault="005B3295" w:rsidP="0020399A">
      <w:pPr>
        <w:jc w:val="both"/>
      </w:pPr>
      <w:r w:rsidRPr="00E01D59">
        <w:t>Aktuell bestehen folgende Vereinbarungen:</w:t>
      </w:r>
    </w:p>
    <w:p w:rsidR="005B3295" w:rsidRPr="00E01D59" w:rsidRDefault="005B3295" w:rsidP="0020399A">
      <w:pPr>
        <w:jc w:val="both"/>
      </w:pP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 xml:space="preserve">AWO-Schülerhort, Hauzenberg           </w:t>
      </w:r>
      <w:r w:rsidR="00FD37D0">
        <w:rPr>
          <w:rFonts w:ascii="Calibri" w:eastAsia="Times New Roman" w:hAnsi="Calibri" w:cs="Times New Roman"/>
        </w:rPr>
        <w:t xml:space="preserve">                      </w:t>
      </w:r>
      <w:r w:rsidR="002B2883">
        <w:rPr>
          <w:rFonts w:ascii="Calibri" w:eastAsia="Times New Roman" w:hAnsi="Calibri" w:cs="Times New Roman"/>
        </w:rPr>
        <w:t xml:space="preserve">  </w:t>
      </w:r>
      <w:r w:rsidRPr="00E01D59">
        <w:rPr>
          <w:rFonts w:ascii="Calibri" w:eastAsia="Times New Roman" w:hAnsi="Calibri" w:cs="Times New Roman"/>
        </w:rPr>
        <w:t>mit Grundschule Hauzenberg</w:t>
      </w: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Kindergarten St. Gertrud, Tettenweis</w:t>
      </w:r>
      <w:r w:rsidR="00FD37D0">
        <w:rPr>
          <w:rFonts w:ascii="Calibri" w:eastAsia="Times New Roman" w:hAnsi="Calibri" w:cs="Times New Roman"/>
        </w:rPr>
        <w:t xml:space="preserve">               </w:t>
      </w:r>
      <w:r w:rsidRPr="00E01D59">
        <w:rPr>
          <w:rFonts w:ascii="Calibri" w:eastAsia="Times New Roman" w:hAnsi="Calibri" w:cs="Times New Roman"/>
        </w:rPr>
        <w:t xml:space="preserve"> </w:t>
      </w:r>
      <w:r w:rsidR="00FD37D0">
        <w:rPr>
          <w:rFonts w:ascii="Calibri" w:eastAsia="Times New Roman" w:hAnsi="Calibri" w:cs="Times New Roman"/>
        </w:rPr>
        <w:t xml:space="preserve">      </w:t>
      </w:r>
      <w:r w:rsidR="002B2883">
        <w:rPr>
          <w:rFonts w:ascii="Calibri" w:eastAsia="Times New Roman" w:hAnsi="Calibri" w:cs="Times New Roman"/>
        </w:rPr>
        <w:t xml:space="preserve"> </w:t>
      </w:r>
      <w:r w:rsidR="00FD37D0">
        <w:rPr>
          <w:rFonts w:ascii="Calibri" w:eastAsia="Times New Roman" w:hAnsi="Calibri" w:cs="Times New Roman"/>
        </w:rPr>
        <w:t xml:space="preserve"> </w:t>
      </w:r>
      <w:r w:rsidRPr="00E01D59">
        <w:rPr>
          <w:rFonts w:ascii="Calibri" w:eastAsia="Times New Roman" w:hAnsi="Calibri" w:cs="Times New Roman"/>
        </w:rPr>
        <w:t>mit Grundschule Tettenweis</w:t>
      </w: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 xml:space="preserve">Kinderhort, Pocking                                </w:t>
      </w:r>
      <w:r w:rsidR="00FD37D0">
        <w:rPr>
          <w:rFonts w:ascii="Calibri" w:eastAsia="Times New Roman" w:hAnsi="Calibri" w:cs="Times New Roman"/>
        </w:rPr>
        <w:t xml:space="preserve">                      </w:t>
      </w:r>
      <w:r w:rsidR="002B2883">
        <w:rPr>
          <w:rFonts w:ascii="Calibri" w:eastAsia="Times New Roman" w:hAnsi="Calibri" w:cs="Times New Roman"/>
        </w:rPr>
        <w:t xml:space="preserve"> </w:t>
      </w:r>
      <w:r w:rsidRPr="00E01D59">
        <w:rPr>
          <w:rFonts w:ascii="Calibri" w:eastAsia="Times New Roman" w:hAnsi="Calibri" w:cs="Times New Roman"/>
        </w:rPr>
        <w:t>mit Grundschule Pocking</w:t>
      </w: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 xml:space="preserve">Kinderhort, Heining (Stadt Passau)     </w:t>
      </w:r>
      <w:r w:rsidR="00FD37D0">
        <w:rPr>
          <w:rFonts w:ascii="Calibri" w:eastAsia="Times New Roman" w:hAnsi="Calibri" w:cs="Times New Roman"/>
        </w:rPr>
        <w:t xml:space="preserve">                      </w:t>
      </w:r>
      <w:r w:rsidRPr="00E01D59">
        <w:rPr>
          <w:rFonts w:ascii="Calibri" w:eastAsia="Times New Roman" w:hAnsi="Calibri" w:cs="Times New Roman"/>
        </w:rPr>
        <w:t xml:space="preserve"> </w:t>
      </w:r>
      <w:r w:rsidR="002B2883">
        <w:rPr>
          <w:rFonts w:ascii="Calibri" w:eastAsia="Times New Roman" w:hAnsi="Calibri" w:cs="Times New Roman"/>
        </w:rPr>
        <w:t xml:space="preserve"> </w:t>
      </w:r>
      <w:r w:rsidRPr="00E01D59">
        <w:rPr>
          <w:rFonts w:ascii="Calibri" w:eastAsia="Times New Roman" w:hAnsi="Calibri" w:cs="Times New Roman"/>
        </w:rPr>
        <w:t>mit Grundschule Heining</w:t>
      </w: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 xml:space="preserve">Kinderhaus St. Franziskus                   </w:t>
      </w:r>
      <w:r w:rsidR="00FD37D0">
        <w:rPr>
          <w:rFonts w:ascii="Calibri" w:eastAsia="Times New Roman" w:hAnsi="Calibri" w:cs="Times New Roman"/>
        </w:rPr>
        <w:t xml:space="preserve">             </w:t>
      </w:r>
      <w:r w:rsidRPr="00E01D59">
        <w:rPr>
          <w:rFonts w:ascii="Calibri" w:eastAsia="Times New Roman" w:hAnsi="Calibri" w:cs="Times New Roman"/>
        </w:rPr>
        <w:t xml:space="preserve">   </w:t>
      </w:r>
      <w:r w:rsidR="00FD37D0">
        <w:rPr>
          <w:rFonts w:ascii="Calibri" w:eastAsia="Times New Roman" w:hAnsi="Calibri" w:cs="Times New Roman"/>
        </w:rPr>
        <w:t xml:space="preserve">        </w:t>
      </w:r>
      <w:r w:rsidRPr="00E01D59">
        <w:rPr>
          <w:rFonts w:ascii="Calibri" w:eastAsia="Times New Roman" w:hAnsi="Calibri" w:cs="Times New Roman"/>
        </w:rPr>
        <w:t xml:space="preserve"> </w:t>
      </w:r>
      <w:r w:rsidR="00FD37D0">
        <w:rPr>
          <w:rFonts w:ascii="Calibri" w:eastAsia="Times New Roman" w:hAnsi="Calibri" w:cs="Times New Roman"/>
        </w:rPr>
        <w:t xml:space="preserve"> </w:t>
      </w:r>
      <w:r w:rsidRPr="00E01D59">
        <w:rPr>
          <w:rFonts w:ascii="Calibri" w:eastAsia="Times New Roman" w:hAnsi="Calibri" w:cs="Times New Roman"/>
        </w:rPr>
        <w:t>mit Grund- und Mittelschule Neustift</w:t>
      </w: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 xml:space="preserve">Kinderhaus St. Franziskus                     </w:t>
      </w:r>
      <w:r w:rsidR="00FD37D0">
        <w:rPr>
          <w:rFonts w:ascii="Calibri" w:eastAsia="Times New Roman" w:hAnsi="Calibri" w:cs="Times New Roman"/>
        </w:rPr>
        <w:t xml:space="preserve">             </w:t>
      </w:r>
      <w:r w:rsidRPr="00E01D59">
        <w:rPr>
          <w:rFonts w:ascii="Calibri" w:eastAsia="Times New Roman" w:hAnsi="Calibri" w:cs="Times New Roman"/>
        </w:rPr>
        <w:t xml:space="preserve"> </w:t>
      </w:r>
      <w:r w:rsidR="00FD37D0">
        <w:rPr>
          <w:rFonts w:ascii="Calibri" w:eastAsia="Times New Roman" w:hAnsi="Calibri" w:cs="Times New Roman"/>
        </w:rPr>
        <w:t xml:space="preserve">         </w:t>
      </w:r>
      <w:r w:rsidRPr="00E01D59">
        <w:rPr>
          <w:rFonts w:ascii="Calibri" w:eastAsia="Times New Roman" w:hAnsi="Calibri" w:cs="Times New Roman"/>
        </w:rPr>
        <w:t xml:space="preserve"> mit Hans-Bayerlein Schule Passau</w:t>
      </w: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 xml:space="preserve">Kinderhaus St. Franziskus                     </w:t>
      </w:r>
      <w:r w:rsidR="00FD37D0">
        <w:rPr>
          <w:rFonts w:ascii="Calibri" w:eastAsia="Times New Roman" w:hAnsi="Calibri" w:cs="Times New Roman"/>
        </w:rPr>
        <w:t xml:space="preserve">             </w:t>
      </w:r>
      <w:r w:rsidRPr="00E01D59">
        <w:rPr>
          <w:rFonts w:ascii="Calibri" w:eastAsia="Times New Roman" w:hAnsi="Calibri" w:cs="Times New Roman"/>
        </w:rPr>
        <w:t xml:space="preserve"> </w:t>
      </w:r>
      <w:r w:rsidR="00FD37D0">
        <w:rPr>
          <w:rFonts w:ascii="Calibri" w:eastAsia="Times New Roman" w:hAnsi="Calibri" w:cs="Times New Roman"/>
        </w:rPr>
        <w:t xml:space="preserve">         </w:t>
      </w:r>
      <w:r w:rsidRPr="00E01D59">
        <w:rPr>
          <w:rFonts w:ascii="Calibri" w:eastAsia="Times New Roman" w:hAnsi="Calibri" w:cs="Times New Roman"/>
        </w:rPr>
        <w:t xml:space="preserve"> mit Grundschule Haidenhof Passau</w:t>
      </w:r>
    </w:p>
    <w:p w:rsidR="005B3295" w:rsidRPr="00E01D59" w:rsidRDefault="005B3295" w:rsidP="005B3295">
      <w:pPr>
        <w:numPr>
          <w:ilvl w:val="0"/>
          <w:numId w:val="29"/>
        </w:numPr>
        <w:contextualSpacing/>
        <w:rPr>
          <w:rFonts w:ascii="Calibri" w:eastAsia="Times New Roman" w:hAnsi="Calibri" w:cs="Times New Roman"/>
        </w:rPr>
      </w:pPr>
      <w:r w:rsidRPr="00E01D59">
        <w:rPr>
          <w:rFonts w:ascii="Calibri" w:eastAsia="Times New Roman" w:hAnsi="Calibri" w:cs="Times New Roman"/>
        </w:rPr>
        <w:t xml:space="preserve">Kindergarten St. Martin in Haarbach    </w:t>
      </w:r>
      <w:r w:rsidR="00FD37D0">
        <w:rPr>
          <w:rFonts w:ascii="Calibri" w:eastAsia="Times New Roman" w:hAnsi="Calibri" w:cs="Times New Roman"/>
        </w:rPr>
        <w:t xml:space="preserve">                      </w:t>
      </w:r>
      <w:r w:rsidRPr="00E01D59">
        <w:rPr>
          <w:rFonts w:ascii="Calibri" w:eastAsia="Times New Roman" w:hAnsi="Calibri" w:cs="Times New Roman"/>
        </w:rPr>
        <w:t xml:space="preserve">mit der Grundschule Haarbach </w:t>
      </w:r>
    </w:p>
    <w:p w:rsidR="005B3295" w:rsidRPr="00E01D59" w:rsidRDefault="005B3295" w:rsidP="005B3295">
      <w:pPr>
        <w:numPr>
          <w:ilvl w:val="0"/>
          <w:numId w:val="30"/>
        </w:numPr>
        <w:ind w:left="709"/>
        <w:rPr>
          <w:rFonts w:ascii="Calibri" w:eastAsia="Times New Roman" w:hAnsi="Calibri" w:cs="Times New Roman"/>
        </w:rPr>
      </w:pPr>
      <w:r w:rsidRPr="00E01D59">
        <w:rPr>
          <w:rFonts w:ascii="Calibri" w:eastAsia="Times New Roman" w:hAnsi="Calibri" w:cs="Times New Roman"/>
        </w:rPr>
        <w:t xml:space="preserve">Kita Fürstenstein                                       </w:t>
      </w:r>
      <w:r w:rsidR="00FD37D0">
        <w:rPr>
          <w:rFonts w:ascii="Calibri" w:eastAsia="Times New Roman" w:hAnsi="Calibri" w:cs="Times New Roman"/>
        </w:rPr>
        <w:t xml:space="preserve">                      </w:t>
      </w:r>
      <w:r w:rsidRPr="00E01D59">
        <w:rPr>
          <w:rFonts w:ascii="Calibri" w:eastAsia="Times New Roman" w:hAnsi="Calibri" w:cs="Times New Roman"/>
        </w:rPr>
        <w:t>mit Sonderp. Förderz</w:t>
      </w:r>
      <w:r w:rsidR="00FD37D0">
        <w:rPr>
          <w:rFonts w:ascii="Calibri" w:eastAsia="Times New Roman" w:hAnsi="Calibri" w:cs="Times New Roman"/>
        </w:rPr>
        <w:t>.</w:t>
      </w:r>
      <w:r w:rsidRPr="00E01D59">
        <w:rPr>
          <w:rFonts w:ascii="Calibri" w:eastAsia="Times New Roman" w:hAnsi="Calibri" w:cs="Times New Roman"/>
        </w:rPr>
        <w:t xml:space="preserve">  Hans Bayerlein </w:t>
      </w:r>
      <w:r w:rsidR="00FD37D0">
        <w:rPr>
          <w:rFonts w:ascii="Calibri" w:eastAsia="Times New Roman" w:hAnsi="Calibri" w:cs="Times New Roman"/>
        </w:rPr>
        <w:t>S</w:t>
      </w:r>
      <w:r w:rsidRPr="00E01D59">
        <w:rPr>
          <w:rFonts w:ascii="Calibri" w:eastAsia="Times New Roman" w:hAnsi="Calibri" w:cs="Times New Roman"/>
        </w:rPr>
        <w:t>ch</w:t>
      </w:r>
      <w:r w:rsidR="00FD37D0">
        <w:rPr>
          <w:rFonts w:ascii="Calibri" w:eastAsia="Times New Roman" w:hAnsi="Calibri" w:cs="Times New Roman"/>
        </w:rPr>
        <w:t>.</w:t>
      </w:r>
    </w:p>
    <w:p w:rsidR="005B3295" w:rsidRDefault="005B3295" w:rsidP="005B3295">
      <w:pPr>
        <w:numPr>
          <w:ilvl w:val="0"/>
          <w:numId w:val="30"/>
        </w:numPr>
        <w:ind w:left="709"/>
        <w:rPr>
          <w:rFonts w:ascii="Calibri" w:eastAsia="Times New Roman" w:hAnsi="Calibri" w:cs="Times New Roman"/>
        </w:rPr>
      </w:pPr>
      <w:r w:rsidRPr="00E01D59">
        <w:rPr>
          <w:rFonts w:ascii="Calibri" w:eastAsia="Times New Roman" w:hAnsi="Calibri" w:cs="Times New Roman"/>
        </w:rPr>
        <w:t xml:space="preserve">Kita der Mittelschule Bad Griesbach    </w:t>
      </w:r>
      <w:r w:rsidR="00FD37D0">
        <w:rPr>
          <w:rFonts w:ascii="Calibri" w:eastAsia="Times New Roman" w:hAnsi="Calibri" w:cs="Times New Roman"/>
        </w:rPr>
        <w:t xml:space="preserve">                      </w:t>
      </w:r>
      <w:r w:rsidRPr="00E01D59">
        <w:rPr>
          <w:rFonts w:ascii="Calibri" w:eastAsia="Times New Roman" w:hAnsi="Calibri" w:cs="Times New Roman"/>
        </w:rPr>
        <w:t xml:space="preserve"> mit Staatl</w:t>
      </w:r>
      <w:r w:rsidR="00FD37D0">
        <w:rPr>
          <w:rFonts w:ascii="Calibri" w:eastAsia="Times New Roman" w:hAnsi="Calibri" w:cs="Times New Roman"/>
        </w:rPr>
        <w:t>.</w:t>
      </w:r>
      <w:r w:rsidRPr="00E01D59">
        <w:rPr>
          <w:rFonts w:ascii="Calibri" w:eastAsia="Times New Roman" w:hAnsi="Calibri" w:cs="Times New Roman"/>
        </w:rPr>
        <w:t xml:space="preserve"> Realschule Bad Griesbach</w:t>
      </w:r>
    </w:p>
    <w:p w:rsidR="00004003" w:rsidRPr="007A6096" w:rsidRDefault="00004003" w:rsidP="005B3295">
      <w:pPr>
        <w:numPr>
          <w:ilvl w:val="0"/>
          <w:numId w:val="30"/>
        </w:numPr>
        <w:ind w:left="709"/>
        <w:rPr>
          <w:rFonts w:ascii="Calibri" w:eastAsia="Times New Roman" w:hAnsi="Calibri" w:cs="Times New Roman"/>
        </w:rPr>
      </w:pPr>
      <w:r w:rsidRPr="007A6096">
        <w:rPr>
          <w:rFonts w:ascii="Calibri" w:eastAsia="Times New Roman" w:hAnsi="Calibri" w:cs="Times New Roman"/>
        </w:rPr>
        <w:lastRenderedPageBreak/>
        <w:t xml:space="preserve">Kinderhaus Heining (Stadt Passau)      </w:t>
      </w:r>
      <w:r w:rsidR="00FD37D0" w:rsidRPr="007A6096">
        <w:rPr>
          <w:rFonts w:ascii="Calibri" w:eastAsia="Times New Roman" w:hAnsi="Calibri" w:cs="Times New Roman"/>
        </w:rPr>
        <w:t xml:space="preserve">                        </w:t>
      </w:r>
      <w:r w:rsidRPr="007A6096">
        <w:rPr>
          <w:rFonts w:ascii="Calibri" w:eastAsia="Times New Roman" w:hAnsi="Calibri" w:cs="Times New Roman"/>
        </w:rPr>
        <w:t>mit Hans-Bayerlein-Schule Passau</w:t>
      </w:r>
    </w:p>
    <w:p w:rsidR="00FD37D0" w:rsidRDefault="00FD37D0" w:rsidP="005B3295">
      <w:pPr>
        <w:numPr>
          <w:ilvl w:val="0"/>
          <w:numId w:val="30"/>
        </w:numPr>
        <w:ind w:left="709"/>
        <w:rPr>
          <w:rFonts w:ascii="Calibri" w:eastAsia="Times New Roman" w:hAnsi="Calibri" w:cs="Times New Roman"/>
        </w:rPr>
      </w:pPr>
      <w:r w:rsidRPr="007A6096">
        <w:rPr>
          <w:rFonts w:ascii="Calibri" w:eastAsia="Times New Roman" w:hAnsi="Calibri" w:cs="Times New Roman"/>
        </w:rPr>
        <w:t xml:space="preserve">Kindertageseinricht. St. Elisabeth, Neuburg a. Inn  </w:t>
      </w:r>
      <w:r w:rsidR="002B2883">
        <w:rPr>
          <w:rFonts w:ascii="Calibri" w:eastAsia="Times New Roman" w:hAnsi="Calibri" w:cs="Times New Roman"/>
        </w:rPr>
        <w:t xml:space="preserve"> </w:t>
      </w:r>
      <w:r w:rsidRPr="007A6096">
        <w:rPr>
          <w:rFonts w:ascii="Calibri" w:eastAsia="Times New Roman" w:hAnsi="Calibri" w:cs="Times New Roman"/>
        </w:rPr>
        <w:t xml:space="preserve"> mit Grundschule Neuburg am Inn</w:t>
      </w:r>
    </w:p>
    <w:p w:rsidR="007B30DF" w:rsidRDefault="007B30DF" w:rsidP="005B3295">
      <w:pPr>
        <w:numPr>
          <w:ilvl w:val="0"/>
          <w:numId w:val="30"/>
        </w:numPr>
        <w:ind w:left="709"/>
        <w:rPr>
          <w:rFonts w:ascii="Calibri" w:eastAsia="Times New Roman" w:hAnsi="Calibri" w:cs="Times New Roman"/>
          <w:color w:val="00B050"/>
        </w:rPr>
      </w:pPr>
      <w:r w:rsidRPr="007B30DF">
        <w:rPr>
          <w:rFonts w:ascii="Calibri" w:eastAsia="Times New Roman" w:hAnsi="Calibri" w:cs="Times New Roman"/>
          <w:color w:val="00B050"/>
        </w:rPr>
        <w:t xml:space="preserve">Kinderhort Pocking                                                          mit Anne-Frank-Schule Pocking  </w:t>
      </w:r>
    </w:p>
    <w:p w:rsidR="00152E52" w:rsidRPr="007B30DF" w:rsidRDefault="00152E52" w:rsidP="005B3295">
      <w:pPr>
        <w:numPr>
          <w:ilvl w:val="0"/>
          <w:numId w:val="30"/>
        </w:numPr>
        <w:ind w:left="709"/>
        <w:rPr>
          <w:rFonts w:ascii="Calibri" w:eastAsia="Times New Roman" w:hAnsi="Calibri" w:cs="Times New Roman"/>
          <w:color w:val="00B050"/>
        </w:rPr>
      </w:pPr>
      <w:r>
        <w:rPr>
          <w:rFonts w:ascii="Calibri" w:eastAsia="Times New Roman" w:hAnsi="Calibri" w:cs="Times New Roman"/>
          <w:color w:val="00B050"/>
        </w:rPr>
        <w:t>Kindergarten St. Agatha, Aidenbach                            mit Schulverband Mittelschule Aidenbach</w:t>
      </w:r>
    </w:p>
    <w:p w:rsidR="005B3295" w:rsidRPr="007A6096" w:rsidRDefault="005B3295" w:rsidP="0020399A">
      <w:pPr>
        <w:jc w:val="both"/>
      </w:pPr>
    </w:p>
    <w:p w:rsidR="00BD774C" w:rsidRPr="007A6096" w:rsidRDefault="00BD774C" w:rsidP="0020399A">
      <w:pPr>
        <w:jc w:val="both"/>
      </w:pPr>
    </w:p>
    <w:p w:rsidR="0006634F" w:rsidRPr="00993152" w:rsidRDefault="0006634F" w:rsidP="0020399A">
      <w:pPr>
        <w:jc w:val="both"/>
      </w:pPr>
      <w:r w:rsidRPr="00993152">
        <w:t>Ist eine Bewilligung durch das Jobcenter wegen einer fehlenden Vereinbarung nicht möglich, werden die Eltern auf die Möglichkeit eines Erlasses/einer Übernahme des Kostenbeitrages für das Mittagessen nach § 90 Abs. 1 Nr. 3, Abs. 3 SGB VIII durch die öffentliche Jugendhilfe hingewiesen.</w:t>
      </w:r>
    </w:p>
    <w:p w:rsidR="0006634F" w:rsidRPr="00993152" w:rsidRDefault="0006634F" w:rsidP="0020399A">
      <w:pPr>
        <w:jc w:val="both"/>
      </w:pPr>
    </w:p>
    <w:p w:rsidR="0006634F" w:rsidRPr="00993152" w:rsidRDefault="0006634F" w:rsidP="0020399A">
      <w:pPr>
        <w:jc w:val="both"/>
      </w:pPr>
      <w:r w:rsidRPr="00993152">
        <w:t>Ausführliche Hinweise zur gemeinschaftlichen Mittagsverpflegung bietet das Schreiben des StMAS vom 07.10.2013, Az. VI 1/0713-1/1.</w:t>
      </w:r>
    </w:p>
    <w:p w:rsidR="00AB6669" w:rsidRDefault="00AB6669" w:rsidP="0020399A">
      <w:pPr>
        <w:jc w:val="both"/>
      </w:pPr>
    </w:p>
    <w:p w:rsidR="001D2AF9" w:rsidRDefault="001D2AF9" w:rsidP="0020399A">
      <w:pPr>
        <w:jc w:val="both"/>
      </w:pPr>
    </w:p>
    <w:p w:rsidR="001D2AF9" w:rsidRDefault="001D2AF9" w:rsidP="0020399A">
      <w:pPr>
        <w:jc w:val="both"/>
      </w:pPr>
    </w:p>
    <w:p w:rsidR="001D2AF9" w:rsidRDefault="001D2AF9" w:rsidP="0020399A">
      <w:pPr>
        <w:jc w:val="both"/>
      </w:pPr>
    </w:p>
    <w:p w:rsidR="00611FC0" w:rsidRPr="00993152" w:rsidRDefault="00611FC0" w:rsidP="0020399A">
      <w:pPr>
        <w:jc w:val="both"/>
      </w:pPr>
    </w:p>
    <w:p w:rsidR="00496F23" w:rsidRPr="007A6096" w:rsidRDefault="008079EF" w:rsidP="00E5033E">
      <w:pPr>
        <w:pStyle w:val="berschrift1"/>
        <w:numPr>
          <w:ilvl w:val="0"/>
          <w:numId w:val="22"/>
        </w:numPr>
        <w:rPr>
          <w:sz w:val="24"/>
          <w:szCs w:val="24"/>
        </w:rPr>
      </w:pPr>
      <w:r w:rsidRPr="003D7A2C">
        <w:rPr>
          <w:color w:val="00B050"/>
          <w:sz w:val="24"/>
          <w:szCs w:val="24"/>
        </w:rPr>
        <w:t>Teilhabe am sozialen und kulturellen Leben</w:t>
      </w:r>
      <w:r w:rsidR="00653DC8" w:rsidRPr="003D7A2C">
        <w:rPr>
          <w:color w:val="00B050"/>
          <w:sz w:val="24"/>
          <w:szCs w:val="24"/>
        </w:rPr>
        <w:t xml:space="preserve"> (§ 28 Abs. 7 SGB II)</w:t>
      </w:r>
    </w:p>
    <w:p w:rsidR="00496F23" w:rsidRPr="00993152" w:rsidRDefault="00496F23" w:rsidP="005167F3">
      <w:pPr>
        <w:pStyle w:val="Listenabsatz"/>
        <w:ind w:left="0"/>
        <w:jc w:val="both"/>
      </w:pPr>
    </w:p>
    <w:p w:rsidR="00F2134A" w:rsidRPr="00993152" w:rsidRDefault="00F2134A" w:rsidP="00F2134A">
      <w:pPr>
        <w:jc w:val="both"/>
      </w:pPr>
      <w:r w:rsidRPr="00993152">
        <w:rPr>
          <w:b/>
        </w:rPr>
        <w:t>Leistungsberechtigt sind Kinder und Jugendliche</w:t>
      </w:r>
      <w:r w:rsidRPr="00993152">
        <w:t xml:space="preserve">, die noch </w:t>
      </w:r>
      <w:r w:rsidRPr="00993152">
        <w:rPr>
          <w:b/>
        </w:rPr>
        <w:t>unter 18</w:t>
      </w:r>
      <w:r w:rsidRPr="00993152">
        <w:t xml:space="preserve"> Jahre</w:t>
      </w:r>
      <w:r w:rsidR="009B6207" w:rsidRPr="00993152">
        <w:t xml:space="preserve"> sind</w:t>
      </w:r>
      <w:r w:rsidRPr="00993152">
        <w:t>.</w:t>
      </w:r>
    </w:p>
    <w:p w:rsidR="00F2134A" w:rsidRPr="00993152" w:rsidRDefault="00F2134A" w:rsidP="00F2134A">
      <w:pPr>
        <w:pStyle w:val="Listenabsatz"/>
        <w:ind w:left="0"/>
        <w:contextualSpacing w:val="0"/>
        <w:jc w:val="both"/>
      </w:pPr>
    </w:p>
    <w:p w:rsidR="00F2134A" w:rsidRPr="00993152" w:rsidRDefault="00F2134A" w:rsidP="00F2134A">
      <w:pPr>
        <w:jc w:val="both"/>
      </w:pPr>
      <w:r w:rsidRPr="00993152">
        <w:t>Mit dieser Leistung soll es Kindern und Jugendlichen ermöglicht werden, sich in Vereins- und Gemeinschaftsstrukturen zu integrieren und insbesondere Kontakt zu Gleichaltrigen aufzubauen. Um dies zu ermöglichen, werden zusätzliche Leistungen im Wert von 10 Euro monatlich erbracht.</w:t>
      </w:r>
    </w:p>
    <w:p w:rsidR="00F2134A" w:rsidRPr="00993152" w:rsidRDefault="00F2134A" w:rsidP="00F2134A">
      <w:pPr>
        <w:jc w:val="both"/>
      </w:pPr>
    </w:p>
    <w:p w:rsidR="00F2134A" w:rsidRDefault="00F2134A" w:rsidP="00F2134A">
      <w:pPr>
        <w:jc w:val="both"/>
      </w:pPr>
      <w:r w:rsidRPr="00993152">
        <w:t>Die Leistung kann individuell eingesetzt werden für:</w:t>
      </w:r>
    </w:p>
    <w:p w:rsidR="00C810D5" w:rsidRPr="00993152" w:rsidRDefault="00C810D5" w:rsidP="00F2134A">
      <w:pPr>
        <w:jc w:val="both"/>
      </w:pPr>
    </w:p>
    <w:p w:rsidR="00F2134A" w:rsidRPr="00993152" w:rsidRDefault="00F2134A" w:rsidP="00E5033E">
      <w:pPr>
        <w:pStyle w:val="Listenabsatz"/>
        <w:numPr>
          <w:ilvl w:val="0"/>
          <w:numId w:val="13"/>
        </w:numPr>
        <w:jc w:val="both"/>
      </w:pPr>
      <w:r w:rsidRPr="00993152">
        <w:t>Mitgliedsbeiträge aus den Bereichen Sport, Spiel, Kultur und Geselligkeit (z. B. Fußballverein</w:t>
      </w:r>
      <w:r w:rsidR="005650C2" w:rsidRPr="00993152">
        <w:t>, Mittagsbetreuung ohne Mittagessen</w:t>
      </w:r>
      <w:r w:rsidRPr="00993152">
        <w:t>),</w:t>
      </w:r>
    </w:p>
    <w:p w:rsidR="00F2134A" w:rsidRPr="00993152" w:rsidRDefault="00F2134A" w:rsidP="00E5033E">
      <w:pPr>
        <w:pStyle w:val="Listenabsatz"/>
        <w:numPr>
          <w:ilvl w:val="0"/>
          <w:numId w:val="13"/>
        </w:numPr>
        <w:jc w:val="both"/>
      </w:pPr>
      <w:r w:rsidRPr="00993152">
        <w:t>Unterricht in künstlerischen Fächern (z. B. Musikunterricht),</w:t>
      </w:r>
    </w:p>
    <w:p w:rsidR="00F2134A" w:rsidRPr="00993152" w:rsidRDefault="00F2134A" w:rsidP="00E5033E">
      <w:pPr>
        <w:pStyle w:val="Listenabsatz"/>
        <w:numPr>
          <w:ilvl w:val="0"/>
          <w:numId w:val="13"/>
        </w:numPr>
        <w:jc w:val="both"/>
      </w:pPr>
      <w:r w:rsidRPr="00993152">
        <w:t>Angeleitete Aktivitäten der kulturellen Bildung (z. B. Museumsbesuche),</w:t>
      </w:r>
    </w:p>
    <w:p w:rsidR="00F2134A" w:rsidRPr="00993152" w:rsidRDefault="00F2134A" w:rsidP="00E5033E">
      <w:pPr>
        <w:pStyle w:val="Listenabsatz"/>
        <w:numPr>
          <w:ilvl w:val="0"/>
          <w:numId w:val="13"/>
        </w:numPr>
        <w:jc w:val="both"/>
      </w:pPr>
      <w:r w:rsidRPr="00993152">
        <w:t>die Teilnahme an Freizeiten (z. B. Pfadfinder, Theaterfreizeit).</w:t>
      </w:r>
    </w:p>
    <w:p w:rsidR="00F4243B" w:rsidRPr="00993152" w:rsidRDefault="00C22267" w:rsidP="00E5033E">
      <w:pPr>
        <w:pStyle w:val="Listenabsatz"/>
        <w:numPr>
          <w:ilvl w:val="0"/>
          <w:numId w:val="13"/>
        </w:numPr>
        <w:jc w:val="both"/>
      </w:pPr>
      <w:r w:rsidRPr="00993152">
        <w:t>im begründeten Ausnahmefall die</w:t>
      </w:r>
      <w:r w:rsidR="00F4243B" w:rsidRPr="00993152">
        <w:t xml:space="preserve"> Beschaffung von Ausrüstung und Ähnliches (z.B. Musikinstrumente, Schutzkleidung für bestimmte Sportarten</w:t>
      </w:r>
      <w:r w:rsidR="00574A3B" w:rsidRPr="00993152">
        <w:t>, Trikots, Bastelmaterial</w:t>
      </w:r>
      <w:r w:rsidR="00F4243B" w:rsidRPr="00993152">
        <w:t xml:space="preserve">), wenn </w:t>
      </w:r>
      <w:r w:rsidR="0004441F" w:rsidRPr="00993152">
        <w:rPr>
          <w:rFonts w:cs="Arial"/>
        </w:rPr>
        <w:t xml:space="preserve">sie im Zusammenhang mit der Teilnahme an Aktivitäten stehen und </w:t>
      </w:r>
      <w:r w:rsidR="00F4243B" w:rsidRPr="00993152">
        <w:t>die Finanzierung aus dem Regelbedarf nicht zumutbar ist.</w:t>
      </w:r>
    </w:p>
    <w:p w:rsidR="00574A3B" w:rsidRPr="00993152" w:rsidRDefault="00574A3B" w:rsidP="00574A3B">
      <w:pPr>
        <w:ind w:left="360"/>
        <w:jc w:val="both"/>
      </w:pPr>
    </w:p>
    <w:p w:rsidR="00574A3B" w:rsidRPr="00993152" w:rsidRDefault="00574A3B" w:rsidP="00E17C4A">
      <w:pPr>
        <w:ind w:left="360"/>
        <w:jc w:val="both"/>
      </w:pPr>
      <w:r w:rsidRPr="00993152">
        <w:t xml:space="preserve">Diese  </w:t>
      </w:r>
      <w:r w:rsidR="00C22267" w:rsidRPr="00993152">
        <w:t>„</w:t>
      </w:r>
      <w:r w:rsidRPr="00993152">
        <w:t>weiter</w:t>
      </w:r>
      <w:r w:rsidR="00C22267" w:rsidRPr="00993152">
        <w:t>e</w:t>
      </w:r>
      <w:r w:rsidRPr="00993152">
        <w:t>n</w:t>
      </w:r>
      <w:r w:rsidR="00C22267" w:rsidRPr="00993152">
        <w:t xml:space="preserve"> tatsächlichen</w:t>
      </w:r>
      <w:r w:rsidRPr="00993152">
        <w:t xml:space="preserve"> Aufwendung</w:t>
      </w:r>
      <w:r w:rsidR="00C22267" w:rsidRPr="00993152">
        <w:t>e</w:t>
      </w:r>
      <w:r w:rsidRPr="00993152">
        <w:t>n</w:t>
      </w:r>
      <w:r w:rsidR="00C22267" w:rsidRPr="00993152">
        <w:t>“</w:t>
      </w:r>
      <w:r w:rsidRPr="00993152">
        <w:t xml:space="preserve"> müssen </w:t>
      </w:r>
      <w:r w:rsidR="00C22267" w:rsidRPr="00993152">
        <w:t>„</w:t>
      </w:r>
      <w:r w:rsidRPr="00993152">
        <w:t>im Zusammenhang</w:t>
      </w:r>
      <w:r w:rsidR="00C22267" w:rsidRPr="00993152">
        <w:t>“</w:t>
      </w:r>
      <w:r w:rsidRPr="00993152">
        <w:t xml:space="preserve"> mit der Teilnahme an den Aktivitäten entstehen. Da diese weiter</w:t>
      </w:r>
      <w:r w:rsidR="00C22267" w:rsidRPr="00993152">
        <w:t>e</w:t>
      </w:r>
      <w:r w:rsidRPr="00993152">
        <w:t>n Aufwendungen nicht unmittelbar durch die Aktivität ausgelöst sein, sondern „nur“ im Zusammenhang mit ihr entstehen müssen, können z.</w:t>
      </w:r>
      <w:r w:rsidR="00C22267" w:rsidRPr="00993152">
        <w:t>B</w:t>
      </w:r>
      <w:r w:rsidRPr="00993152">
        <w:t xml:space="preserve">. auch Fahrtkosten für den Weg zum Verein oder zu Punktspielen erfasst sein oder die Kosten für eine </w:t>
      </w:r>
      <w:r w:rsidR="00C22267" w:rsidRPr="00993152">
        <w:t>J</w:t>
      </w:r>
      <w:r w:rsidRPr="00993152">
        <w:t>ahresfei</w:t>
      </w:r>
      <w:r w:rsidR="00C22267" w:rsidRPr="00993152">
        <w:t>er.</w:t>
      </w:r>
    </w:p>
    <w:p w:rsidR="00C22267" w:rsidRPr="00993152" w:rsidRDefault="00C22267" w:rsidP="00E17C4A">
      <w:pPr>
        <w:ind w:left="360"/>
        <w:jc w:val="both"/>
      </w:pPr>
    </w:p>
    <w:p w:rsidR="00C22267" w:rsidRPr="004B2EB4" w:rsidRDefault="00C22267" w:rsidP="004B2EB4">
      <w:pPr>
        <w:ind w:left="360"/>
        <w:jc w:val="both"/>
        <w:rPr>
          <w:color w:val="00B050"/>
        </w:rPr>
      </w:pPr>
      <w:r w:rsidRPr="003D7A2C">
        <w:rPr>
          <w:color w:val="00B050"/>
        </w:rPr>
        <w:t>Als Orientierungs</w:t>
      </w:r>
      <w:r w:rsidR="003D7A2C" w:rsidRPr="003D7A2C">
        <w:rPr>
          <w:color w:val="00B050"/>
        </w:rPr>
        <w:t>wert</w:t>
      </w:r>
      <w:r w:rsidRPr="003D7A2C">
        <w:rPr>
          <w:color w:val="00B050"/>
        </w:rPr>
        <w:t xml:space="preserve"> für die Unzumutbarkeit der Eigenfinanzierung im begründeten Ausnahmefall  sieht das StMAS einen Betrag von 30 EUR</w:t>
      </w:r>
      <w:r w:rsidR="003D7A2C" w:rsidRPr="003D7A2C">
        <w:rPr>
          <w:color w:val="00B050"/>
        </w:rPr>
        <w:t xml:space="preserve"> </w:t>
      </w:r>
      <w:r w:rsidRPr="003D7A2C">
        <w:rPr>
          <w:color w:val="00B050"/>
        </w:rPr>
        <w:t>vor.</w:t>
      </w:r>
      <w:r w:rsidR="003D7A2C">
        <w:rPr>
          <w:color w:val="00B050"/>
        </w:rPr>
        <w:t xml:space="preserve"> Demnach sind solche Aufwendungen in begründeten Fällen nur zu übernehmen, wenn diese Zumutbarkeitsschwelle überschritten wird. Die weiteren Aufwendungen können nun innerhalb eines Bewilligungszeitraums mehrmals übernommen werden, d</w:t>
      </w:r>
      <w:r w:rsidR="003D7A2C" w:rsidRPr="003D7A2C">
        <w:rPr>
          <w:color w:val="00B050"/>
        </w:rPr>
        <w:t>as Budget ist aber wie bisher auf 10 EUR monatlich maximal begrenzt.</w:t>
      </w:r>
      <w:r w:rsidR="003D7A2C">
        <w:rPr>
          <w:color w:val="00B050"/>
        </w:rPr>
        <w:t xml:space="preserve"> </w:t>
      </w:r>
    </w:p>
    <w:p w:rsidR="00D7366F" w:rsidRPr="00993152" w:rsidRDefault="00D7366F" w:rsidP="00E17C4A">
      <w:pPr>
        <w:ind w:left="360"/>
        <w:jc w:val="both"/>
      </w:pPr>
    </w:p>
    <w:p w:rsidR="00D7366F" w:rsidRPr="00993152" w:rsidRDefault="00D7366F" w:rsidP="00E17C4A">
      <w:pPr>
        <w:jc w:val="both"/>
      </w:pPr>
      <w:r w:rsidRPr="00993152">
        <w:t xml:space="preserve">Individuelle Freizeitveranstaltungen (z.B. Kinobesuch) werden nicht erfasst (BT-Dr. 17/3404 S 175). </w:t>
      </w:r>
    </w:p>
    <w:p w:rsidR="009303CA" w:rsidRPr="00993152" w:rsidRDefault="009303CA" w:rsidP="00E17C4A">
      <w:pPr>
        <w:jc w:val="both"/>
      </w:pPr>
    </w:p>
    <w:p w:rsidR="009303CA" w:rsidRPr="00993152" w:rsidRDefault="009303CA" w:rsidP="00E17C4A">
      <w:pPr>
        <w:jc w:val="both"/>
        <w:rPr>
          <w:rFonts w:cs="Arial"/>
        </w:rPr>
      </w:pPr>
      <w:r w:rsidRPr="00993152">
        <w:rPr>
          <w:rFonts w:cs="Arial"/>
        </w:rPr>
        <w:t xml:space="preserve">Auch ein Anspruch auf </w:t>
      </w:r>
      <w:r w:rsidRPr="00993152">
        <w:rPr>
          <w:rFonts w:cs="Arial"/>
          <w:b/>
        </w:rPr>
        <w:t>Lei</w:t>
      </w:r>
      <w:r w:rsidR="003C6DED" w:rsidRPr="00993152">
        <w:rPr>
          <w:rFonts w:cs="Arial"/>
          <w:b/>
        </w:rPr>
        <w:t>h</w:t>
      </w:r>
      <w:r w:rsidRPr="00993152">
        <w:rPr>
          <w:rFonts w:cs="Arial"/>
          <w:b/>
        </w:rPr>
        <w:t>gebühren für Musikinstrumente die ausschließlich für schulische Zwecke eingesetzt werden</w:t>
      </w:r>
      <w:r w:rsidRPr="00993152">
        <w:rPr>
          <w:rFonts w:cs="Arial"/>
        </w:rPr>
        <w:t xml:space="preserve"> besteht nicht, da durch § 28 Abs. 7 SGB II grundsätzlich nur Bedarfe auf Grund außerschulischer Aktivitäten/Bedarfe im Teilhabebereich gedeckt werden sollen (vgl. BSG, 10.09.2013, - B 4 AS 12/13 R-).</w:t>
      </w:r>
    </w:p>
    <w:p w:rsidR="009303CA" w:rsidRPr="00993152" w:rsidRDefault="009303CA" w:rsidP="00E17C4A">
      <w:pPr>
        <w:jc w:val="both"/>
      </w:pPr>
    </w:p>
    <w:p w:rsidR="004A157B" w:rsidRPr="00993152" w:rsidRDefault="004A157B" w:rsidP="00E17C4A">
      <w:pPr>
        <w:jc w:val="both"/>
      </w:pPr>
    </w:p>
    <w:p w:rsidR="004A157B" w:rsidRPr="003D7A2C" w:rsidRDefault="004A157B" w:rsidP="00E17C4A">
      <w:pPr>
        <w:jc w:val="both"/>
        <w:rPr>
          <w:color w:val="00B050"/>
        </w:rPr>
      </w:pPr>
      <w:r w:rsidRPr="003D7A2C">
        <w:rPr>
          <w:color w:val="00B050"/>
        </w:rPr>
        <w:t xml:space="preserve">Ausführliche Hinweise zum Teilhabedarf </w:t>
      </w:r>
      <w:r w:rsidR="00574A3B" w:rsidRPr="003D7A2C">
        <w:rPr>
          <w:color w:val="00B050"/>
        </w:rPr>
        <w:t xml:space="preserve"> </w:t>
      </w:r>
      <w:r w:rsidRPr="003D7A2C">
        <w:rPr>
          <w:color w:val="00B050"/>
        </w:rPr>
        <w:t xml:space="preserve">bietet das Schreiben des StMAS Bayern vom </w:t>
      </w:r>
      <w:r w:rsidR="003D7A2C" w:rsidRPr="003D7A2C">
        <w:rPr>
          <w:color w:val="00B050"/>
        </w:rPr>
        <w:t>21</w:t>
      </w:r>
      <w:r w:rsidRPr="003D7A2C">
        <w:rPr>
          <w:color w:val="00B050"/>
        </w:rPr>
        <w:t>.</w:t>
      </w:r>
      <w:r w:rsidR="003D7A2C" w:rsidRPr="003D7A2C">
        <w:rPr>
          <w:color w:val="00B050"/>
        </w:rPr>
        <w:t>11.2016</w:t>
      </w:r>
      <w:r w:rsidRPr="003D7A2C">
        <w:rPr>
          <w:color w:val="00B050"/>
        </w:rPr>
        <w:t>, Az. I 3/6074.04-1/</w:t>
      </w:r>
      <w:r w:rsidR="00574A3B" w:rsidRPr="003D7A2C">
        <w:rPr>
          <w:color w:val="00B050"/>
        </w:rPr>
        <w:t>232</w:t>
      </w:r>
      <w:r w:rsidRPr="003D7A2C">
        <w:rPr>
          <w:color w:val="00B050"/>
        </w:rPr>
        <w:t>.</w:t>
      </w:r>
    </w:p>
    <w:p w:rsidR="00F2134A" w:rsidRPr="00993152" w:rsidRDefault="00F2134A" w:rsidP="00E17C4A">
      <w:pPr>
        <w:pStyle w:val="Listenabsatz"/>
        <w:ind w:left="0"/>
        <w:contextualSpacing w:val="0"/>
        <w:jc w:val="both"/>
      </w:pPr>
    </w:p>
    <w:p w:rsidR="00F2134A" w:rsidRPr="00993152" w:rsidRDefault="00F2134A" w:rsidP="00E17C4A">
      <w:pPr>
        <w:pStyle w:val="Listenabsatz"/>
        <w:ind w:left="0"/>
        <w:contextualSpacing w:val="0"/>
        <w:jc w:val="both"/>
      </w:pPr>
      <w:r w:rsidRPr="00993152">
        <w:t xml:space="preserve">Als </w:t>
      </w:r>
      <w:r w:rsidRPr="00993152">
        <w:rPr>
          <w:b/>
        </w:rPr>
        <w:t>Nachweis</w:t>
      </w:r>
      <w:r w:rsidRPr="00993152">
        <w:t xml:space="preserve"> können das Formblatt „Bestätigung des Leistungsanbieters“ oder sonstige geeignete Unterlagen wie Anmeldungen, Rechnungen der Stellen, bei denen das Kind ein Angebot wahrnehmen möchte dienen. Bei Vorliegen der Voraussetzungen übernimmt das Jobcenter</w:t>
      </w:r>
      <w:r w:rsidR="009B6207" w:rsidRPr="00993152">
        <w:t xml:space="preserve"> </w:t>
      </w:r>
      <w:r w:rsidRPr="00993152">
        <w:t>im Rahmen des zur Verfügung stehenden Betrages (bis zu 60 Euro im Bewilligungszeitraum) die Abrechnung der Kosten direkt mit dem Leistungsanbieter</w:t>
      </w:r>
      <w:r w:rsidR="009B6207" w:rsidRPr="00993152">
        <w:t>.</w:t>
      </w:r>
    </w:p>
    <w:p w:rsidR="009B6207" w:rsidRPr="00993152" w:rsidRDefault="009B6207" w:rsidP="00E17C4A">
      <w:pPr>
        <w:pStyle w:val="Listenabsatz"/>
        <w:ind w:left="0"/>
        <w:contextualSpacing w:val="0"/>
        <w:jc w:val="both"/>
      </w:pPr>
    </w:p>
    <w:p w:rsidR="00736C46" w:rsidRPr="00993152" w:rsidRDefault="00736C46" w:rsidP="00E17C4A">
      <w:pPr>
        <w:pStyle w:val="Listenabsatz"/>
        <w:ind w:left="0"/>
        <w:contextualSpacing w:val="0"/>
        <w:jc w:val="both"/>
      </w:pPr>
    </w:p>
    <w:p w:rsidR="005E00BC" w:rsidRPr="00993152" w:rsidRDefault="005E00BC" w:rsidP="00E17C4A">
      <w:pPr>
        <w:pStyle w:val="Listenabsatz"/>
        <w:ind w:left="0"/>
        <w:contextualSpacing w:val="0"/>
        <w:jc w:val="both"/>
      </w:pPr>
      <w:r w:rsidRPr="00993152">
        <w:t xml:space="preserve">Steht bereits mit Beginn des BWZ fest, welches Angebot im Verlauf des BWZ genutzt werden soll und wie hoch die Ausgaben sind, kann die Leistung für den gesamten BWZ im Voraus erbracht werden (§ 29 Abs. 2 Satz 3 und Abs. 3 Satz 2 SGB II). </w:t>
      </w:r>
    </w:p>
    <w:p w:rsidR="005E00BC" w:rsidRPr="00993152" w:rsidRDefault="005E00BC" w:rsidP="00E17C4A">
      <w:pPr>
        <w:pStyle w:val="Listenabsatz"/>
        <w:ind w:left="0"/>
        <w:contextualSpacing w:val="0"/>
        <w:jc w:val="both"/>
      </w:pPr>
      <w:r w:rsidRPr="00993152">
        <w:t xml:space="preserve">Mit der Rückwirkung des Antrags  auf den Beginn des BWZ soll ermöglicht werden, dass die für den BWZ vorgesehenen Leistungen in ihrer Gesamtheit eingesetzt werden können, unabhängig davon, zu welchem Zeitpunkt (während des BWZ) sich die LB für die Teilnahme an einem Angebot entscheiden und einen Antrag stellen. Im Ergebnis sollen die Teilhabeleistungen Kindern, die bereits zu Beginn des BWZ ein Angebot wahrnehmen oder auswählen, genauso zugutekommen, wie Kindern, die bisher kein Angebot wahrgenommen haben und sich erst später für die  Teilhabe entscheiden (vgl. BT-Dr. 17/12036). </w:t>
      </w:r>
    </w:p>
    <w:p w:rsidR="00A87452" w:rsidRPr="00993152" w:rsidRDefault="00A87452" w:rsidP="003926FD">
      <w:pPr>
        <w:pStyle w:val="Listenabsatz"/>
        <w:ind w:left="0"/>
        <w:contextualSpacing w:val="0"/>
        <w:jc w:val="both"/>
      </w:pPr>
    </w:p>
    <w:p w:rsidR="00F2134A" w:rsidRPr="00993152" w:rsidRDefault="00F2134A" w:rsidP="003926FD">
      <w:pPr>
        <w:pStyle w:val="Listenabsatz"/>
        <w:ind w:left="0"/>
        <w:contextualSpacing w:val="0"/>
        <w:jc w:val="both"/>
      </w:pPr>
    </w:p>
    <w:p w:rsidR="00241119" w:rsidRPr="00993152" w:rsidRDefault="00241119" w:rsidP="005167F3">
      <w:pPr>
        <w:pStyle w:val="Listenabsatz"/>
        <w:ind w:left="0"/>
        <w:jc w:val="both"/>
      </w:pPr>
      <w:r w:rsidRPr="00993152">
        <w:t>Eine bis zum Ablauf des Bewilligungszeitraums nicht verbrauchte Ansparung entfällt.</w:t>
      </w:r>
    </w:p>
    <w:p w:rsidR="00241119" w:rsidRPr="00993152" w:rsidRDefault="00346AF4" w:rsidP="005167F3">
      <w:pPr>
        <w:pStyle w:val="Listenabsatz"/>
        <w:ind w:left="0"/>
        <w:jc w:val="both"/>
      </w:pPr>
      <w:r w:rsidRPr="00993152">
        <w:t xml:space="preserve">Im SGB II ist der Antrag eine materielle Leistungsvoraussetzung (§ 37 SGB II), so dass für vorangegangene Zeiträume </w:t>
      </w:r>
      <w:r w:rsidR="00A87452" w:rsidRPr="00993152">
        <w:t>(aktuelle</w:t>
      </w:r>
      <w:r w:rsidR="006A34CC">
        <w:t>r</w:t>
      </w:r>
      <w:r w:rsidR="00A87452" w:rsidRPr="00993152">
        <w:t xml:space="preserve"> B</w:t>
      </w:r>
      <w:r w:rsidR="005E00BC" w:rsidRPr="00993152">
        <w:t>WZ)</w:t>
      </w:r>
      <w:r w:rsidR="00A87452" w:rsidRPr="00993152">
        <w:t xml:space="preserve"> </w:t>
      </w:r>
      <w:r w:rsidRPr="00993152">
        <w:t xml:space="preserve">auf keine Weise eine nachträgliche Ansparung möglich ist. </w:t>
      </w:r>
    </w:p>
    <w:p w:rsidR="00346AF4" w:rsidRPr="003D7A2C" w:rsidRDefault="009B6207" w:rsidP="005167F3">
      <w:pPr>
        <w:pStyle w:val="Listenabsatz"/>
        <w:ind w:left="0"/>
        <w:jc w:val="both"/>
        <w:rPr>
          <w:color w:val="00B050"/>
        </w:rPr>
      </w:pPr>
      <w:r w:rsidRPr="003D7A2C">
        <w:rPr>
          <w:color w:val="00B050"/>
        </w:rPr>
        <w:t>Zu</w:t>
      </w:r>
      <w:r w:rsidR="00692C51" w:rsidRPr="003D7A2C">
        <w:rPr>
          <w:color w:val="00B050"/>
        </w:rPr>
        <w:t xml:space="preserve">r </w:t>
      </w:r>
      <w:r w:rsidRPr="003D7A2C">
        <w:rPr>
          <w:color w:val="00B050"/>
        </w:rPr>
        <w:t xml:space="preserve"> Thematik </w:t>
      </w:r>
      <w:r w:rsidR="00692C51" w:rsidRPr="003D7A2C">
        <w:rPr>
          <w:color w:val="00B050"/>
        </w:rPr>
        <w:t xml:space="preserve">des Ansparens </w:t>
      </w:r>
      <w:r w:rsidRPr="003D7A2C">
        <w:rPr>
          <w:color w:val="00B050"/>
        </w:rPr>
        <w:t>gibt das Schreiben des St</w:t>
      </w:r>
      <w:r w:rsidR="00692C51" w:rsidRPr="003D7A2C">
        <w:rPr>
          <w:color w:val="00B050"/>
        </w:rPr>
        <w:t>MAS</w:t>
      </w:r>
      <w:r w:rsidRPr="003D7A2C">
        <w:rPr>
          <w:color w:val="00B050"/>
        </w:rPr>
        <w:t xml:space="preserve"> vom </w:t>
      </w:r>
      <w:r w:rsidR="00A41230" w:rsidRPr="003D7A2C">
        <w:rPr>
          <w:color w:val="00B050"/>
        </w:rPr>
        <w:t>10.</w:t>
      </w:r>
      <w:r w:rsidR="002B2883" w:rsidRPr="003D7A2C">
        <w:rPr>
          <w:color w:val="00B050"/>
        </w:rPr>
        <w:t>10.2016</w:t>
      </w:r>
      <w:r w:rsidR="00692C51" w:rsidRPr="003D7A2C">
        <w:rPr>
          <w:color w:val="00B050"/>
        </w:rPr>
        <w:t xml:space="preserve"> </w:t>
      </w:r>
      <w:r w:rsidR="003D7A2C" w:rsidRPr="003D7A2C">
        <w:rPr>
          <w:color w:val="00B050"/>
        </w:rPr>
        <w:t xml:space="preserve">im Kapitel III </w:t>
      </w:r>
      <w:r w:rsidR="00692C51" w:rsidRPr="003D7A2C">
        <w:rPr>
          <w:color w:val="00B050"/>
        </w:rPr>
        <w:t>(Az. I3/6074.04-1/50)</w:t>
      </w:r>
      <w:r w:rsidRPr="003D7A2C">
        <w:rPr>
          <w:color w:val="00B050"/>
        </w:rPr>
        <w:t xml:space="preserve"> ausführliche Hinweise.</w:t>
      </w:r>
    </w:p>
    <w:p w:rsidR="005167F3" w:rsidRPr="00993152" w:rsidRDefault="005167F3" w:rsidP="005167F3">
      <w:pPr>
        <w:pStyle w:val="Listenabsatz"/>
        <w:ind w:left="0"/>
        <w:jc w:val="both"/>
      </w:pPr>
    </w:p>
    <w:p w:rsidR="004A157B" w:rsidRPr="00993152" w:rsidRDefault="004A157B" w:rsidP="005167F3">
      <w:pPr>
        <w:pStyle w:val="Listenabsatz"/>
        <w:ind w:left="0"/>
        <w:jc w:val="both"/>
      </w:pPr>
    </w:p>
    <w:p w:rsidR="00E179CB" w:rsidRDefault="00E179CB"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FB51A2" w:rsidRDefault="00FB51A2" w:rsidP="005167F3">
      <w:pPr>
        <w:pStyle w:val="Listenabsatz"/>
        <w:ind w:left="0"/>
        <w:jc w:val="both"/>
      </w:pPr>
    </w:p>
    <w:p w:rsidR="00D016CE" w:rsidRDefault="00D016CE" w:rsidP="005167F3">
      <w:pPr>
        <w:pStyle w:val="Listenabsatz"/>
        <w:ind w:left="0"/>
        <w:jc w:val="both"/>
      </w:pPr>
    </w:p>
    <w:p w:rsidR="00D016CE" w:rsidRDefault="00D016CE" w:rsidP="005167F3">
      <w:pPr>
        <w:pStyle w:val="Listenabsatz"/>
        <w:ind w:left="0"/>
        <w:jc w:val="both"/>
      </w:pPr>
    </w:p>
    <w:p w:rsidR="00D016CE" w:rsidRDefault="00D016CE" w:rsidP="005167F3">
      <w:pPr>
        <w:pStyle w:val="Listenabsatz"/>
        <w:ind w:left="0"/>
        <w:jc w:val="both"/>
      </w:pPr>
    </w:p>
    <w:p w:rsidR="00D016CE" w:rsidRDefault="00D016CE" w:rsidP="005167F3">
      <w:pPr>
        <w:pStyle w:val="Listenabsatz"/>
        <w:ind w:left="0"/>
        <w:jc w:val="both"/>
      </w:pPr>
    </w:p>
    <w:p w:rsidR="00D016CE" w:rsidRDefault="00D016CE" w:rsidP="005167F3">
      <w:pPr>
        <w:pStyle w:val="Listenabsatz"/>
        <w:ind w:left="0"/>
        <w:jc w:val="both"/>
      </w:pPr>
    </w:p>
    <w:p w:rsidR="000269B1" w:rsidRPr="00097D48" w:rsidRDefault="00CB5E33" w:rsidP="00C810D5">
      <w:pPr>
        <w:pStyle w:val="berschrift4"/>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szCs w:val="28"/>
        </w:rPr>
      </w:pPr>
      <w:r w:rsidRPr="00993152">
        <w:rPr>
          <w:szCs w:val="28"/>
        </w:rPr>
        <w:t xml:space="preserve"> </w:t>
      </w:r>
      <w:r w:rsidR="00422989" w:rsidRPr="00993152">
        <w:rPr>
          <w:szCs w:val="28"/>
        </w:rPr>
        <w:t xml:space="preserve">                                           </w:t>
      </w:r>
      <w:r w:rsidR="000269B1" w:rsidRPr="00097D48">
        <w:rPr>
          <w:szCs w:val="28"/>
        </w:rPr>
        <w:t xml:space="preserve">Anlage </w:t>
      </w:r>
    </w:p>
    <w:p w:rsidR="000269B1" w:rsidRPr="0057640E" w:rsidRDefault="000269B1" w:rsidP="00C810D5">
      <w:pPr>
        <w:pStyle w:val="berschrift4"/>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color w:val="31849B" w:themeColor="accent5" w:themeShade="BF"/>
          <w:szCs w:val="28"/>
        </w:rPr>
      </w:pPr>
      <w:r w:rsidRPr="00097D48">
        <w:rPr>
          <w:szCs w:val="28"/>
        </w:rPr>
        <w:t>Angemessene Unterkunftskosten für vorangegangene Zeiträume</w:t>
      </w:r>
      <w:r w:rsidR="00097D48">
        <w:rPr>
          <w:szCs w:val="28"/>
        </w:rPr>
        <w:t xml:space="preserve">                    </w:t>
      </w:r>
      <w:r w:rsidR="00097D48" w:rsidRPr="007A6096">
        <w:rPr>
          <w:szCs w:val="28"/>
        </w:rPr>
        <w:t>(ab 201</w:t>
      </w:r>
      <w:r w:rsidR="006A34CC" w:rsidRPr="007A6096">
        <w:rPr>
          <w:szCs w:val="28"/>
        </w:rPr>
        <w:t>4</w:t>
      </w:r>
      <w:r w:rsidR="00097D48" w:rsidRPr="007A6096">
        <w:rPr>
          <w:szCs w:val="28"/>
        </w:rPr>
        <w:t>)</w:t>
      </w:r>
    </w:p>
    <w:p w:rsidR="00097D48" w:rsidRPr="00097D48" w:rsidRDefault="00097D48" w:rsidP="00097D48"/>
    <w:p w:rsidR="00097D48" w:rsidRPr="00097D48" w:rsidRDefault="00097D48" w:rsidP="00097D48"/>
    <w:p w:rsidR="00BA3643" w:rsidRPr="00993152" w:rsidRDefault="00BA3643" w:rsidP="00BA3643"/>
    <w:p w:rsidR="00BA3643" w:rsidRPr="00993152" w:rsidRDefault="00BA3643" w:rsidP="00E5033E">
      <w:pPr>
        <w:pStyle w:val="Listenabsatz"/>
        <w:numPr>
          <w:ilvl w:val="0"/>
          <w:numId w:val="24"/>
        </w:numPr>
        <w:ind w:left="284" w:hanging="284"/>
        <w:rPr>
          <w:sz w:val="28"/>
          <w:szCs w:val="28"/>
          <w:u w:val="single"/>
        </w:rPr>
      </w:pPr>
      <w:r w:rsidRPr="00993152">
        <w:rPr>
          <w:sz w:val="28"/>
          <w:szCs w:val="28"/>
          <w:u w:val="single"/>
        </w:rPr>
        <w:t>Bruttokaltmieten</w:t>
      </w:r>
    </w:p>
    <w:p w:rsidR="00BA3643" w:rsidRPr="00993152" w:rsidRDefault="00BA3643" w:rsidP="00B0527F">
      <w:pPr>
        <w:ind w:left="284" w:hanging="284"/>
      </w:pPr>
    </w:p>
    <w:p w:rsidR="00422989" w:rsidRPr="00993152" w:rsidRDefault="008C2A00" w:rsidP="008C2A00">
      <w:pPr>
        <w:ind w:left="284"/>
        <w:jc w:val="both"/>
        <w:rPr>
          <w:rFonts w:cs="Arial"/>
        </w:rPr>
      </w:pPr>
      <w:r>
        <w:rPr>
          <w:rFonts w:cs="Arial"/>
        </w:rPr>
        <w:t>Zeitraum 01.01.2014 – 29.02.2016</w:t>
      </w:r>
    </w:p>
    <w:p w:rsidR="008C2A00" w:rsidRPr="00993152" w:rsidRDefault="004D14FE" w:rsidP="008C2A00">
      <w:pPr>
        <w:jc w:val="both"/>
      </w:pPr>
      <w:r w:rsidRPr="00993152">
        <w:rPr>
          <w:b/>
          <w:sz w:val="24"/>
          <w:szCs w:val="24"/>
        </w:rPr>
        <w:t xml:space="preserve">  </w:t>
      </w:r>
      <w:r w:rsidR="008C2A00" w:rsidRPr="00993152">
        <w:rPr>
          <w:sz w:val="28"/>
          <w:szCs w:val="28"/>
        </w:rPr>
        <w:t xml:space="preserve">  </w:t>
      </w:r>
    </w:p>
    <w:tbl>
      <w:tblPr>
        <w:tblW w:w="8998" w:type="dxa"/>
        <w:tblInd w:w="28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ayout w:type="fixed"/>
        <w:tblLook w:val="01E0" w:firstRow="1" w:lastRow="1" w:firstColumn="1" w:lastColumn="1" w:noHBand="0" w:noVBand="0"/>
      </w:tblPr>
      <w:tblGrid>
        <w:gridCol w:w="2700"/>
        <w:gridCol w:w="1996"/>
        <w:gridCol w:w="2144"/>
        <w:gridCol w:w="2158"/>
      </w:tblGrid>
      <w:tr w:rsidR="008C2A00" w:rsidRPr="00993152" w:rsidTr="00732943">
        <w:tc>
          <w:tcPr>
            <w:tcW w:w="8998" w:type="dxa"/>
            <w:gridSpan w:val="4"/>
            <w:tcBorders>
              <w:top w:val="single" w:sz="4" w:space="0" w:color="999999"/>
              <w:bottom w:val="single" w:sz="6" w:space="0" w:color="999999"/>
            </w:tcBorders>
            <w:shd w:val="clear" w:color="auto" w:fill="C0C0C0"/>
          </w:tcPr>
          <w:p w:rsidR="008C2A00" w:rsidRPr="00993152" w:rsidRDefault="008C2A00" w:rsidP="00732943">
            <w:pPr>
              <w:rPr>
                <w:b/>
              </w:rPr>
            </w:pPr>
            <w:r w:rsidRPr="00993152">
              <w:rPr>
                <w:b/>
                <w:u w:val="single"/>
              </w:rPr>
              <w:t>Region I</w:t>
            </w:r>
            <w:r w:rsidRPr="00993152">
              <w:rPr>
                <w:b/>
              </w:rPr>
              <w:t xml:space="preserve">:  </w:t>
            </w:r>
          </w:p>
          <w:p w:rsidR="008C2A00" w:rsidRPr="00993152" w:rsidRDefault="008C2A00" w:rsidP="00732943">
            <w:pPr>
              <w:rPr>
                <w:u w:val="single"/>
              </w:rPr>
            </w:pPr>
            <w:r w:rsidRPr="00993152">
              <w:t>Bad Griesbach i. Rottal, Haarbach, Neuburg a. Inn, Neuhaus a. Inn, Obernzell, Pocking, Ruderting, Salzweg, Tettenweis, Thyrnau, Tiefenbach</w:t>
            </w:r>
          </w:p>
        </w:tc>
      </w:tr>
      <w:tr w:rsidR="008C2A00" w:rsidRPr="00993152" w:rsidTr="00732943">
        <w:tc>
          <w:tcPr>
            <w:tcW w:w="2700"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Anzahl Personen</w:t>
            </w:r>
          </w:p>
        </w:tc>
        <w:tc>
          <w:tcPr>
            <w:tcW w:w="1996"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angemessene Wohnungsgröße</w:t>
            </w:r>
          </w:p>
        </w:tc>
        <w:tc>
          <w:tcPr>
            <w:tcW w:w="2144"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Bruttokaltmiete/</w:t>
            </w:r>
          </w:p>
          <w:p w:rsidR="008C2A00" w:rsidRPr="00993152" w:rsidRDefault="008C2A00" w:rsidP="00732943">
            <w:pPr>
              <w:jc w:val="center"/>
            </w:pPr>
            <w:r w:rsidRPr="00993152">
              <w:t>m² in EUR</w:t>
            </w:r>
          </w:p>
        </w:tc>
        <w:tc>
          <w:tcPr>
            <w:tcW w:w="2158"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angemessene</w:t>
            </w:r>
          </w:p>
          <w:p w:rsidR="008C2A00" w:rsidRPr="00993152" w:rsidRDefault="008C2A00" w:rsidP="00732943">
            <w:pPr>
              <w:jc w:val="center"/>
            </w:pPr>
            <w:r w:rsidRPr="00993152">
              <w:t>Bruttokaltmiete</w:t>
            </w:r>
          </w:p>
          <w:p w:rsidR="008C2A00" w:rsidRPr="00993152" w:rsidRDefault="008C2A00" w:rsidP="00732943">
            <w:pPr>
              <w:jc w:val="center"/>
            </w:pPr>
            <w:r w:rsidRPr="00993152">
              <w:t xml:space="preserve">in EUR </w:t>
            </w:r>
          </w:p>
        </w:tc>
      </w:tr>
      <w:tr w:rsidR="008C2A00" w:rsidRPr="00993152" w:rsidTr="00732943">
        <w:tc>
          <w:tcPr>
            <w:tcW w:w="2700" w:type="dxa"/>
            <w:shd w:val="clear" w:color="auto" w:fill="auto"/>
          </w:tcPr>
          <w:p w:rsidR="008C2A00" w:rsidRPr="00993152" w:rsidRDefault="008C2A00" w:rsidP="00732943">
            <w:pPr>
              <w:jc w:val="both"/>
            </w:pPr>
          </w:p>
        </w:tc>
        <w:tc>
          <w:tcPr>
            <w:tcW w:w="1996" w:type="dxa"/>
            <w:shd w:val="clear" w:color="auto" w:fill="auto"/>
          </w:tcPr>
          <w:p w:rsidR="008C2A00" w:rsidRPr="00993152" w:rsidRDefault="008C2A00" w:rsidP="00732943">
            <w:pPr>
              <w:jc w:val="both"/>
            </w:pPr>
          </w:p>
        </w:tc>
        <w:tc>
          <w:tcPr>
            <w:tcW w:w="2144" w:type="dxa"/>
            <w:shd w:val="clear" w:color="auto" w:fill="auto"/>
          </w:tcPr>
          <w:p w:rsidR="008C2A00" w:rsidRPr="00993152" w:rsidRDefault="008C2A00" w:rsidP="00732943">
            <w:pPr>
              <w:jc w:val="both"/>
            </w:pPr>
          </w:p>
        </w:tc>
        <w:tc>
          <w:tcPr>
            <w:tcW w:w="2158" w:type="dxa"/>
            <w:shd w:val="clear" w:color="auto" w:fill="auto"/>
          </w:tcPr>
          <w:p w:rsidR="008C2A00" w:rsidRPr="00993152" w:rsidRDefault="008C2A00" w:rsidP="00732943">
            <w:pPr>
              <w:jc w:val="center"/>
            </w:pPr>
          </w:p>
        </w:tc>
      </w:tr>
      <w:tr w:rsidR="008C2A00" w:rsidRPr="00993152" w:rsidTr="00732943">
        <w:tc>
          <w:tcPr>
            <w:tcW w:w="2700" w:type="dxa"/>
            <w:shd w:val="clear" w:color="auto" w:fill="auto"/>
          </w:tcPr>
          <w:p w:rsidR="008C2A00" w:rsidRPr="00993152" w:rsidRDefault="008C2A00" w:rsidP="00732943">
            <w:pPr>
              <w:jc w:val="both"/>
            </w:pPr>
            <w:r w:rsidRPr="00993152">
              <w:t>1 Person</w:t>
            </w:r>
          </w:p>
        </w:tc>
        <w:tc>
          <w:tcPr>
            <w:tcW w:w="1996" w:type="dxa"/>
            <w:shd w:val="clear" w:color="auto" w:fill="auto"/>
          </w:tcPr>
          <w:p w:rsidR="008C2A00" w:rsidRPr="00993152" w:rsidRDefault="008C2A00" w:rsidP="00732943">
            <w:pPr>
              <w:jc w:val="both"/>
            </w:pPr>
            <w:r w:rsidRPr="00993152">
              <w:t>bis 50 m²</w:t>
            </w:r>
          </w:p>
        </w:tc>
        <w:tc>
          <w:tcPr>
            <w:tcW w:w="2144" w:type="dxa"/>
            <w:shd w:val="clear" w:color="auto" w:fill="auto"/>
          </w:tcPr>
          <w:p w:rsidR="008C2A00" w:rsidRPr="00993152" w:rsidRDefault="008C2A00" w:rsidP="00732943">
            <w:pPr>
              <w:jc w:val="center"/>
            </w:pPr>
            <w:r w:rsidRPr="00993152">
              <w:t>6,34</w:t>
            </w:r>
          </w:p>
        </w:tc>
        <w:tc>
          <w:tcPr>
            <w:tcW w:w="2158" w:type="dxa"/>
            <w:shd w:val="clear" w:color="auto" w:fill="auto"/>
          </w:tcPr>
          <w:p w:rsidR="008C2A00" w:rsidRPr="00993152" w:rsidRDefault="008C2A00" w:rsidP="00732943">
            <w:pPr>
              <w:jc w:val="center"/>
            </w:pPr>
            <w:r w:rsidRPr="00993152">
              <w:t>317,00</w:t>
            </w:r>
          </w:p>
        </w:tc>
      </w:tr>
      <w:tr w:rsidR="008C2A00" w:rsidRPr="00993152" w:rsidTr="00732943">
        <w:tc>
          <w:tcPr>
            <w:tcW w:w="2700" w:type="dxa"/>
            <w:shd w:val="clear" w:color="auto" w:fill="auto"/>
          </w:tcPr>
          <w:p w:rsidR="008C2A00" w:rsidRPr="00993152" w:rsidRDefault="008C2A00" w:rsidP="00732943">
            <w:pPr>
              <w:jc w:val="both"/>
            </w:pPr>
            <w:r w:rsidRPr="00993152">
              <w:t>2 Personen</w:t>
            </w:r>
          </w:p>
        </w:tc>
        <w:tc>
          <w:tcPr>
            <w:tcW w:w="1996" w:type="dxa"/>
            <w:shd w:val="clear" w:color="auto" w:fill="auto"/>
          </w:tcPr>
          <w:p w:rsidR="008C2A00" w:rsidRPr="00993152" w:rsidRDefault="008C2A00" w:rsidP="00732943">
            <w:pPr>
              <w:jc w:val="both"/>
            </w:pPr>
            <w:r w:rsidRPr="00993152">
              <w:t>51 m² bis 65 m²</w:t>
            </w:r>
          </w:p>
        </w:tc>
        <w:tc>
          <w:tcPr>
            <w:tcW w:w="2144" w:type="dxa"/>
            <w:shd w:val="clear" w:color="auto" w:fill="auto"/>
          </w:tcPr>
          <w:p w:rsidR="008C2A00" w:rsidRPr="00993152" w:rsidRDefault="008C2A00" w:rsidP="00732943">
            <w:pPr>
              <w:jc w:val="center"/>
            </w:pPr>
            <w:r w:rsidRPr="00993152">
              <w:t>5,94</w:t>
            </w:r>
          </w:p>
        </w:tc>
        <w:tc>
          <w:tcPr>
            <w:tcW w:w="2158" w:type="dxa"/>
            <w:shd w:val="clear" w:color="auto" w:fill="auto"/>
          </w:tcPr>
          <w:p w:rsidR="008C2A00" w:rsidRPr="00993152" w:rsidRDefault="008C2A00" w:rsidP="00732943">
            <w:pPr>
              <w:jc w:val="center"/>
            </w:pPr>
            <w:r w:rsidRPr="00993152">
              <w:t>387,00</w:t>
            </w:r>
          </w:p>
        </w:tc>
      </w:tr>
      <w:tr w:rsidR="008C2A00" w:rsidRPr="00993152" w:rsidTr="00732943">
        <w:tc>
          <w:tcPr>
            <w:tcW w:w="2700" w:type="dxa"/>
            <w:shd w:val="clear" w:color="auto" w:fill="auto"/>
          </w:tcPr>
          <w:p w:rsidR="008C2A00" w:rsidRPr="00993152" w:rsidRDefault="008C2A00" w:rsidP="00732943">
            <w:pPr>
              <w:jc w:val="both"/>
            </w:pPr>
            <w:r w:rsidRPr="00993152">
              <w:t>3 Personen</w:t>
            </w:r>
          </w:p>
        </w:tc>
        <w:tc>
          <w:tcPr>
            <w:tcW w:w="1996" w:type="dxa"/>
            <w:shd w:val="clear" w:color="auto" w:fill="auto"/>
          </w:tcPr>
          <w:p w:rsidR="008C2A00" w:rsidRPr="00993152" w:rsidRDefault="008C2A00" w:rsidP="00732943">
            <w:pPr>
              <w:jc w:val="both"/>
            </w:pPr>
            <w:r w:rsidRPr="00993152">
              <w:t>66 m² bis 75 m²</w:t>
            </w:r>
          </w:p>
        </w:tc>
        <w:tc>
          <w:tcPr>
            <w:tcW w:w="2144" w:type="dxa"/>
            <w:shd w:val="clear" w:color="auto" w:fill="auto"/>
          </w:tcPr>
          <w:p w:rsidR="008C2A00" w:rsidRPr="00993152" w:rsidRDefault="008C2A00" w:rsidP="00732943">
            <w:pPr>
              <w:jc w:val="center"/>
            </w:pPr>
            <w:r w:rsidRPr="00993152">
              <w:t>5,91</w:t>
            </w:r>
          </w:p>
        </w:tc>
        <w:tc>
          <w:tcPr>
            <w:tcW w:w="2158" w:type="dxa"/>
            <w:shd w:val="clear" w:color="auto" w:fill="auto"/>
          </w:tcPr>
          <w:p w:rsidR="008C2A00" w:rsidRPr="00993152" w:rsidRDefault="008C2A00" w:rsidP="00732943">
            <w:pPr>
              <w:jc w:val="center"/>
            </w:pPr>
            <w:r w:rsidRPr="00993152">
              <w:t>444,00</w:t>
            </w:r>
          </w:p>
        </w:tc>
      </w:tr>
      <w:tr w:rsidR="008C2A00" w:rsidRPr="00993152" w:rsidTr="00732943">
        <w:tc>
          <w:tcPr>
            <w:tcW w:w="2700" w:type="dxa"/>
            <w:shd w:val="clear" w:color="auto" w:fill="auto"/>
          </w:tcPr>
          <w:p w:rsidR="008C2A00" w:rsidRPr="00993152" w:rsidRDefault="008C2A00" w:rsidP="00732943">
            <w:pPr>
              <w:jc w:val="both"/>
            </w:pPr>
            <w:r w:rsidRPr="00993152">
              <w:t>4 Personen</w:t>
            </w:r>
          </w:p>
        </w:tc>
        <w:tc>
          <w:tcPr>
            <w:tcW w:w="1996" w:type="dxa"/>
            <w:shd w:val="clear" w:color="auto" w:fill="auto"/>
          </w:tcPr>
          <w:p w:rsidR="008C2A00" w:rsidRPr="00993152" w:rsidRDefault="008C2A00" w:rsidP="00732943">
            <w:pPr>
              <w:jc w:val="both"/>
            </w:pPr>
            <w:r w:rsidRPr="00993152">
              <w:t>76 m² bis 90 m²</w:t>
            </w:r>
          </w:p>
        </w:tc>
        <w:tc>
          <w:tcPr>
            <w:tcW w:w="2144" w:type="dxa"/>
            <w:shd w:val="clear" w:color="auto" w:fill="auto"/>
          </w:tcPr>
          <w:p w:rsidR="008C2A00" w:rsidRPr="00993152" w:rsidRDefault="008C2A00" w:rsidP="00732943">
            <w:pPr>
              <w:jc w:val="center"/>
            </w:pPr>
            <w:r w:rsidRPr="00993152">
              <w:t>5,97</w:t>
            </w:r>
          </w:p>
        </w:tc>
        <w:tc>
          <w:tcPr>
            <w:tcW w:w="2158" w:type="dxa"/>
            <w:shd w:val="clear" w:color="auto" w:fill="auto"/>
          </w:tcPr>
          <w:p w:rsidR="008C2A00" w:rsidRPr="00993152" w:rsidRDefault="008C2A00" w:rsidP="00732943">
            <w:pPr>
              <w:jc w:val="center"/>
            </w:pPr>
            <w:r w:rsidRPr="00993152">
              <w:t>538,00</w:t>
            </w:r>
          </w:p>
        </w:tc>
      </w:tr>
      <w:tr w:rsidR="008C2A00" w:rsidRPr="00993152" w:rsidTr="00732943">
        <w:tc>
          <w:tcPr>
            <w:tcW w:w="2700" w:type="dxa"/>
            <w:shd w:val="clear" w:color="auto" w:fill="auto"/>
          </w:tcPr>
          <w:p w:rsidR="008C2A00" w:rsidRPr="00993152" w:rsidRDefault="008C2A00" w:rsidP="00732943">
            <w:r w:rsidRPr="00993152">
              <w:t>für jeden weiteren Haushaltsangehörigen</w:t>
            </w:r>
          </w:p>
        </w:tc>
        <w:tc>
          <w:tcPr>
            <w:tcW w:w="1996" w:type="dxa"/>
            <w:shd w:val="clear" w:color="auto" w:fill="auto"/>
          </w:tcPr>
          <w:p w:rsidR="008C2A00" w:rsidRPr="00993152" w:rsidRDefault="008C2A00" w:rsidP="00732943">
            <w:pPr>
              <w:jc w:val="both"/>
            </w:pPr>
            <w:r w:rsidRPr="00993152">
              <w:t>zzgl. 15 m²</w:t>
            </w:r>
          </w:p>
        </w:tc>
        <w:tc>
          <w:tcPr>
            <w:tcW w:w="2144" w:type="dxa"/>
            <w:shd w:val="clear" w:color="auto" w:fill="auto"/>
          </w:tcPr>
          <w:p w:rsidR="008C2A00" w:rsidRPr="00993152" w:rsidRDefault="008C2A00" w:rsidP="00732943">
            <w:pPr>
              <w:jc w:val="center"/>
            </w:pPr>
            <w:r w:rsidRPr="00993152">
              <w:t>5,97</w:t>
            </w:r>
          </w:p>
        </w:tc>
        <w:tc>
          <w:tcPr>
            <w:tcW w:w="2158" w:type="dxa"/>
            <w:shd w:val="clear" w:color="auto" w:fill="auto"/>
          </w:tcPr>
          <w:p w:rsidR="008C2A00" w:rsidRPr="00993152" w:rsidRDefault="008C2A00" w:rsidP="00732943">
            <w:pPr>
              <w:jc w:val="center"/>
            </w:pPr>
            <w:r w:rsidRPr="00993152">
              <w:t>90,00</w:t>
            </w:r>
          </w:p>
        </w:tc>
      </w:tr>
    </w:tbl>
    <w:p w:rsidR="008C2A00" w:rsidRPr="00993152" w:rsidRDefault="008C2A00" w:rsidP="008C2A00">
      <w:pPr>
        <w:jc w:val="both"/>
      </w:pPr>
    </w:p>
    <w:p w:rsidR="008C2A00" w:rsidRPr="00993152" w:rsidRDefault="008C2A00" w:rsidP="008C2A00">
      <w:pPr>
        <w:jc w:val="both"/>
        <w:rPr>
          <w:u w:val="single"/>
        </w:rPr>
      </w:pPr>
    </w:p>
    <w:tbl>
      <w:tblPr>
        <w:tblW w:w="0" w:type="auto"/>
        <w:tblInd w:w="28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2700"/>
        <w:gridCol w:w="1996"/>
        <w:gridCol w:w="2144"/>
        <w:gridCol w:w="2158"/>
      </w:tblGrid>
      <w:tr w:rsidR="008C2A00" w:rsidRPr="00993152" w:rsidTr="00732943">
        <w:tc>
          <w:tcPr>
            <w:tcW w:w="8998" w:type="dxa"/>
            <w:gridSpan w:val="4"/>
            <w:tcBorders>
              <w:top w:val="single" w:sz="4" w:space="0" w:color="999999"/>
              <w:bottom w:val="single" w:sz="6" w:space="0" w:color="999999"/>
            </w:tcBorders>
            <w:shd w:val="clear" w:color="auto" w:fill="C0C0C0"/>
          </w:tcPr>
          <w:p w:rsidR="008C2A00" w:rsidRPr="00993152" w:rsidRDefault="008C2A00" w:rsidP="00732943">
            <w:r w:rsidRPr="00993152">
              <w:rPr>
                <w:b/>
                <w:u w:val="single"/>
              </w:rPr>
              <w:t>Region II</w:t>
            </w:r>
            <w:r w:rsidRPr="00993152">
              <w:t xml:space="preserve">:  </w:t>
            </w:r>
          </w:p>
          <w:p w:rsidR="008C2A00" w:rsidRPr="00993152" w:rsidRDefault="008C2A00" w:rsidP="00732943">
            <w:r w:rsidRPr="00993152">
              <w:t>Aicha v. Wald, Aidenbach, Aldersbach, Bad Füssing, Beutelsbach, Breitenberg, Büchlberg, Eging a. See, Fürstenstein, Fürstenzell, Hauzenberg, Hofkirchen, Hutthurm, Kirchham, Kößlarn, Malching, Neukirchen v. Wald, Ortenburg, Rotthalmünster, Ruhstorf a. d. Rott, Sonnen, Tittling, Untergriesbach, Vilshofen a. d. Donau, Wegscheid, Windorf, Witzmannsberg</w:t>
            </w:r>
          </w:p>
        </w:tc>
      </w:tr>
      <w:tr w:rsidR="008C2A00" w:rsidRPr="00993152" w:rsidTr="00732943">
        <w:tc>
          <w:tcPr>
            <w:tcW w:w="2700"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Anzahl Personen</w:t>
            </w:r>
          </w:p>
        </w:tc>
        <w:tc>
          <w:tcPr>
            <w:tcW w:w="1996"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angemessene Wohnungsgröße</w:t>
            </w:r>
          </w:p>
        </w:tc>
        <w:tc>
          <w:tcPr>
            <w:tcW w:w="2144"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Bruttokaltmiete/</w:t>
            </w:r>
          </w:p>
          <w:p w:rsidR="008C2A00" w:rsidRPr="00993152" w:rsidRDefault="008C2A00" w:rsidP="00732943">
            <w:pPr>
              <w:jc w:val="center"/>
            </w:pPr>
            <w:r w:rsidRPr="00993152">
              <w:t>m² in EUR</w:t>
            </w:r>
          </w:p>
        </w:tc>
        <w:tc>
          <w:tcPr>
            <w:tcW w:w="2158" w:type="dxa"/>
            <w:tcBorders>
              <w:top w:val="single" w:sz="6" w:space="0" w:color="999999"/>
            </w:tcBorders>
            <w:shd w:val="clear" w:color="auto" w:fill="auto"/>
          </w:tcPr>
          <w:p w:rsidR="008C2A00" w:rsidRPr="00993152" w:rsidRDefault="008C2A00" w:rsidP="00732943">
            <w:pPr>
              <w:jc w:val="center"/>
            </w:pPr>
          </w:p>
          <w:p w:rsidR="008C2A00" w:rsidRPr="00993152" w:rsidRDefault="008C2A00" w:rsidP="00732943">
            <w:pPr>
              <w:jc w:val="center"/>
            </w:pPr>
            <w:r w:rsidRPr="00993152">
              <w:t>angemessene</w:t>
            </w:r>
          </w:p>
          <w:p w:rsidR="008C2A00" w:rsidRPr="00993152" w:rsidRDefault="008C2A00" w:rsidP="00732943">
            <w:pPr>
              <w:jc w:val="center"/>
            </w:pPr>
            <w:r w:rsidRPr="00993152">
              <w:t>Bruttokaltmiete</w:t>
            </w:r>
          </w:p>
          <w:p w:rsidR="008C2A00" w:rsidRPr="00993152" w:rsidRDefault="008C2A00" w:rsidP="00732943">
            <w:pPr>
              <w:jc w:val="center"/>
            </w:pPr>
            <w:r w:rsidRPr="00993152">
              <w:t xml:space="preserve">in EUR </w:t>
            </w:r>
          </w:p>
        </w:tc>
      </w:tr>
      <w:tr w:rsidR="008C2A00" w:rsidRPr="00993152" w:rsidTr="00732943">
        <w:tc>
          <w:tcPr>
            <w:tcW w:w="2700" w:type="dxa"/>
            <w:shd w:val="clear" w:color="auto" w:fill="auto"/>
          </w:tcPr>
          <w:p w:rsidR="008C2A00" w:rsidRPr="00993152" w:rsidRDefault="008C2A00" w:rsidP="00732943">
            <w:pPr>
              <w:jc w:val="both"/>
            </w:pPr>
          </w:p>
        </w:tc>
        <w:tc>
          <w:tcPr>
            <w:tcW w:w="1996" w:type="dxa"/>
            <w:shd w:val="clear" w:color="auto" w:fill="auto"/>
          </w:tcPr>
          <w:p w:rsidR="008C2A00" w:rsidRPr="00993152" w:rsidRDefault="008C2A00" w:rsidP="00732943">
            <w:pPr>
              <w:jc w:val="both"/>
            </w:pPr>
          </w:p>
        </w:tc>
        <w:tc>
          <w:tcPr>
            <w:tcW w:w="2144" w:type="dxa"/>
            <w:shd w:val="clear" w:color="auto" w:fill="auto"/>
          </w:tcPr>
          <w:p w:rsidR="008C2A00" w:rsidRPr="00993152" w:rsidRDefault="008C2A00" w:rsidP="00732943">
            <w:pPr>
              <w:jc w:val="both"/>
            </w:pPr>
          </w:p>
        </w:tc>
        <w:tc>
          <w:tcPr>
            <w:tcW w:w="2158" w:type="dxa"/>
            <w:shd w:val="clear" w:color="auto" w:fill="auto"/>
          </w:tcPr>
          <w:p w:rsidR="008C2A00" w:rsidRPr="00993152" w:rsidRDefault="008C2A00" w:rsidP="00732943">
            <w:pPr>
              <w:jc w:val="center"/>
            </w:pPr>
          </w:p>
        </w:tc>
      </w:tr>
      <w:tr w:rsidR="008C2A00" w:rsidRPr="00993152" w:rsidTr="00732943">
        <w:tc>
          <w:tcPr>
            <w:tcW w:w="2700" w:type="dxa"/>
            <w:shd w:val="clear" w:color="auto" w:fill="auto"/>
          </w:tcPr>
          <w:p w:rsidR="008C2A00" w:rsidRPr="00993152" w:rsidRDefault="008C2A00" w:rsidP="00732943">
            <w:pPr>
              <w:jc w:val="both"/>
            </w:pPr>
            <w:r w:rsidRPr="00993152">
              <w:t>1 Person</w:t>
            </w:r>
          </w:p>
        </w:tc>
        <w:tc>
          <w:tcPr>
            <w:tcW w:w="1996" w:type="dxa"/>
            <w:shd w:val="clear" w:color="auto" w:fill="auto"/>
          </w:tcPr>
          <w:p w:rsidR="008C2A00" w:rsidRPr="00993152" w:rsidRDefault="008C2A00" w:rsidP="00732943">
            <w:pPr>
              <w:jc w:val="both"/>
            </w:pPr>
            <w:r w:rsidRPr="00993152">
              <w:t>bis 50 m²</w:t>
            </w:r>
          </w:p>
        </w:tc>
        <w:tc>
          <w:tcPr>
            <w:tcW w:w="2144" w:type="dxa"/>
            <w:shd w:val="clear" w:color="auto" w:fill="auto"/>
          </w:tcPr>
          <w:p w:rsidR="008C2A00" w:rsidRPr="00993152" w:rsidRDefault="008C2A00" w:rsidP="00732943">
            <w:pPr>
              <w:jc w:val="center"/>
            </w:pPr>
            <w:r w:rsidRPr="00993152">
              <w:t>5,92</w:t>
            </w:r>
          </w:p>
        </w:tc>
        <w:tc>
          <w:tcPr>
            <w:tcW w:w="2158" w:type="dxa"/>
            <w:shd w:val="clear" w:color="auto" w:fill="auto"/>
          </w:tcPr>
          <w:p w:rsidR="008C2A00" w:rsidRPr="00993152" w:rsidRDefault="008C2A00" w:rsidP="00732943">
            <w:pPr>
              <w:jc w:val="center"/>
            </w:pPr>
            <w:r w:rsidRPr="00993152">
              <w:t>296,00</w:t>
            </w:r>
          </w:p>
        </w:tc>
      </w:tr>
      <w:tr w:rsidR="008C2A00" w:rsidRPr="00993152" w:rsidTr="00732943">
        <w:tc>
          <w:tcPr>
            <w:tcW w:w="2700" w:type="dxa"/>
            <w:shd w:val="clear" w:color="auto" w:fill="auto"/>
          </w:tcPr>
          <w:p w:rsidR="008C2A00" w:rsidRPr="00993152" w:rsidRDefault="008C2A00" w:rsidP="00732943">
            <w:pPr>
              <w:jc w:val="both"/>
            </w:pPr>
            <w:r w:rsidRPr="00993152">
              <w:t>2 Personen</w:t>
            </w:r>
          </w:p>
        </w:tc>
        <w:tc>
          <w:tcPr>
            <w:tcW w:w="1996" w:type="dxa"/>
            <w:shd w:val="clear" w:color="auto" w:fill="auto"/>
          </w:tcPr>
          <w:p w:rsidR="008C2A00" w:rsidRPr="00993152" w:rsidRDefault="008C2A00" w:rsidP="00732943">
            <w:pPr>
              <w:jc w:val="both"/>
            </w:pPr>
            <w:r w:rsidRPr="00993152">
              <w:t>51 m² bis 65 m²</w:t>
            </w:r>
          </w:p>
        </w:tc>
        <w:tc>
          <w:tcPr>
            <w:tcW w:w="2144" w:type="dxa"/>
            <w:shd w:val="clear" w:color="auto" w:fill="auto"/>
          </w:tcPr>
          <w:p w:rsidR="008C2A00" w:rsidRPr="00993152" w:rsidRDefault="008C2A00" w:rsidP="00732943">
            <w:pPr>
              <w:jc w:val="center"/>
            </w:pPr>
            <w:r w:rsidRPr="00993152">
              <w:t>5,68</w:t>
            </w:r>
          </w:p>
        </w:tc>
        <w:tc>
          <w:tcPr>
            <w:tcW w:w="2158" w:type="dxa"/>
            <w:shd w:val="clear" w:color="auto" w:fill="auto"/>
          </w:tcPr>
          <w:p w:rsidR="008C2A00" w:rsidRPr="00993152" w:rsidRDefault="008C2A00" w:rsidP="00732943">
            <w:pPr>
              <w:jc w:val="center"/>
            </w:pPr>
            <w:r w:rsidRPr="00993152">
              <w:t>370,00</w:t>
            </w:r>
          </w:p>
        </w:tc>
      </w:tr>
      <w:tr w:rsidR="008C2A00" w:rsidRPr="00993152" w:rsidTr="00732943">
        <w:tc>
          <w:tcPr>
            <w:tcW w:w="2700" w:type="dxa"/>
            <w:shd w:val="clear" w:color="auto" w:fill="auto"/>
          </w:tcPr>
          <w:p w:rsidR="008C2A00" w:rsidRPr="00993152" w:rsidRDefault="008C2A00" w:rsidP="00732943">
            <w:pPr>
              <w:jc w:val="both"/>
            </w:pPr>
            <w:r w:rsidRPr="00993152">
              <w:t>3 Personen</w:t>
            </w:r>
          </w:p>
        </w:tc>
        <w:tc>
          <w:tcPr>
            <w:tcW w:w="1996" w:type="dxa"/>
            <w:shd w:val="clear" w:color="auto" w:fill="auto"/>
          </w:tcPr>
          <w:p w:rsidR="008C2A00" w:rsidRPr="00993152" w:rsidRDefault="008C2A00" w:rsidP="00732943">
            <w:pPr>
              <w:jc w:val="both"/>
            </w:pPr>
            <w:r w:rsidRPr="00993152">
              <w:t>66 m² bis 75 m²</w:t>
            </w:r>
          </w:p>
        </w:tc>
        <w:tc>
          <w:tcPr>
            <w:tcW w:w="2144" w:type="dxa"/>
            <w:shd w:val="clear" w:color="auto" w:fill="auto"/>
          </w:tcPr>
          <w:p w:rsidR="008C2A00" w:rsidRPr="00993152" w:rsidRDefault="008C2A00" w:rsidP="00732943">
            <w:pPr>
              <w:jc w:val="center"/>
            </w:pPr>
            <w:r w:rsidRPr="00993152">
              <w:t>5,50</w:t>
            </w:r>
          </w:p>
        </w:tc>
        <w:tc>
          <w:tcPr>
            <w:tcW w:w="2158" w:type="dxa"/>
            <w:shd w:val="clear" w:color="auto" w:fill="auto"/>
          </w:tcPr>
          <w:p w:rsidR="008C2A00" w:rsidRPr="00993152" w:rsidRDefault="008C2A00" w:rsidP="00732943">
            <w:pPr>
              <w:jc w:val="center"/>
            </w:pPr>
            <w:r w:rsidRPr="00993152">
              <w:t>413,00</w:t>
            </w:r>
          </w:p>
        </w:tc>
      </w:tr>
      <w:tr w:rsidR="008C2A00" w:rsidRPr="00993152" w:rsidTr="00732943">
        <w:tc>
          <w:tcPr>
            <w:tcW w:w="2700" w:type="dxa"/>
            <w:shd w:val="clear" w:color="auto" w:fill="auto"/>
          </w:tcPr>
          <w:p w:rsidR="008C2A00" w:rsidRPr="00993152" w:rsidRDefault="008C2A00" w:rsidP="00732943">
            <w:pPr>
              <w:jc w:val="both"/>
            </w:pPr>
            <w:r w:rsidRPr="00993152">
              <w:t>4 Personen</w:t>
            </w:r>
          </w:p>
        </w:tc>
        <w:tc>
          <w:tcPr>
            <w:tcW w:w="1996" w:type="dxa"/>
            <w:shd w:val="clear" w:color="auto" w:fill="auto"/>
          </w:tcPr>
          <w:p w:rsidR="008C2A00" w:rsidRPr="00993152" w:rsidRDefault="008C2A00" w:rsidP="00732943">
            <w:pPr>
              <w:jc w:val="both"/>
            </w:pPr>
            <w:r w:rsidRPr="00993152">
              <w:t>76 m² bis 90 m²</w:t>
            </w:r>
          </w:p>
        </w:tc>
        <w:tc>
          <w:tcPr>
            <w:tcW w:w="2144" w:type="dxa"/>
            <w:shd w:val="clear" w:color="auto" w:fill="auto"/>
          </w:tcPr>
          <w:p w:rsidR="008C2A00" w:rsidRPr="00993152" w:rsidRDefault="008C2A00" w:rsidP="00732943">
            <w:pPr>
              <w:jc w:val="center"/>
            </w:pPr>
            <w:r w:rsidRPr="00993152">
              <w:t>5,47</w:t>
            </w:r>
          </w:p>
        </w:tc>
        <w:tc>
          <w:tcPr>
            <w:tcW w:w="2158" w:type="dxa"/>
            <w:shd w:val="clear" w:color="auto" w:fill="auto"/>
          </w:tcPr>
          <w:p w:rsidR="008C2A00" w:rsidRPr="00993152" w:rsidRDefault="008C2A00" w:rsidP="00732943">
            <w:pPr>
              <w:jc w:val="center"/>
            </w:pPr>
            <w:r w:rsidRPr="00993152">
              <w:t>493,00</w:t>
            </w:r>
          </w:p>
        </w:tc>
      </w:tr>
      <w:tr w:rsidR="008C2A00" w:rsidRPr="00993152" w:rsidTr="00732943">
        <w:tc>
          <w:tcPr>
            <w:tcW w:w="2700" w:type="dxa"/>
            <w:shd w:val="clear" w:color="auto" w:fill="auto"/>
          </w:tcPr>
          <w:p w:rsidR="008C2A00" w:rsidRPr="00993152" w:rsidRDefault="008C2A00" w:rsidP="00732943">
            <w:r w:rsidRPr="00993152">
              <w:t>für jeden weiteren Haushaltsangehörigen</w:t>
            </w:r>
          </w:p>
        </w:tc>
        <w:tc>
          <w:tcPr>
            <w:tcW w:w="1996" w:type="dxa"/>
            <w:shd w:val="clear" w:color="auto" w:fill="auto"/>
          </w:tcPr>
          <w:p w:rsidR="008C2A00" w:rsidRPr="00993152" w:rsidRDefault="008C2A00" w:rsidP="00732943">
            <w:pPr>
              <w:jc w:val="both"/>
            </w:pPr>
            <w:r w:rsidRPr="00993152">
              <w:t>zzgl. 15 m²</w:t>
            </w:r>
          </w:p>
        </w:tc>
        <w:tc>
          <w:tcPr>
            <w:tcW w:w="2144" w:type="dxa"/>
            <w:shd w:val="clear" w:color="auto" w:fill="auto"/>
          </w:tcPr>
          <w:p w:rsidR="008C2A00" w:rsidRPr="00993152" w:rsidRDefault="008C2A00" w:rsidP="00732943">
            <w:pPr>
              <w:jc w:val="center"/>
            </w:pPr>
            <w:r w:rsidRPr="00993152">
              <w:t>5,47</w:t>
            </w:r>
          </w:p>
        </w:tc>
        <w:tc>
          <w:tcPr>
            <w:tcW w:w="2158" w:type="dxa"/>
            <w:shd w:val="clear" w:color="auto" w:fill="auto"/>
          </w:tcPr>
          <w:p w:rsidR="008C2A00" w:rsidRPr="00993152" w:rsidRDefault="008C2A00" w:rsidP="00732943">
            <w:pPr>
              <w:jc w:val="center"/>
            </w:pPr>
            <w:r w:rsidRPr="00993152">
              <w:t>83,00</w:t>
            </w:r>
          </w:p>
        </w:tc>
      </w:tr>
    </w:tbl>
    <w:p w:rsidR="008C2A00" w:rsidRPr="00993152" w:rsidRDefault="008C2A00" w:rsidP="008C2A00">
      <w:pPr>
        <w:jc w:val="center"/>
      </w:pPr>
    </w:p>
    <w:p w:rsidR="008C2A00" w:rsidRPr="00993152" w:rsidRDefault="008C2A00" w:rsidP="008C2A00"/>
    <w:p w:rsidR="008C2A00" w:rsidRPr="00993152" w:rsidRDefault="008C2A00" w:rsidP="008C2A00">
      <w:r w:rsidRPr="00993152">
        <w:t>Die Bruttokaltmiete beinhaltet sog. kalte Nebenkosten in Höhe von 1,16 EUR/m².</w:t>
      </w:r>
    </w:p>
    <w:p w:rsidR="004D14FE" w:rsidRDefault="004D14FE" w:rsidP="006A34CC">
      <w:pPr>
        <w:jc w:val="both"/>
        <w:rPr>
          <w:rFonts w:cs="Arial"/>
        </w:rPr>
      </w:pPr>
    </w:p>
    <w:p w:rsidR="006F7135" w:rsidRDefault="006F7135" w:rsidP="004D14FE">
      <w:pPr>
        <w:rPr>
          <w:rFonts w:cs="Arial"/>
        </w:rPr>
      </w:pPr>
    </w:p>
    <w:p w:rsidR="00C0727F" w:rsidRPr="00993152" w:rsidRDefault="00C0727F" w:rsidP="004D14FE">
      <w:pPr>
        <w:rPr>
          <w:rFonts w:cs="Arial"/>
        </w:rPr>
      </w:pPr>
    </w:p>
    <w:p w:rsidR="00BA3643" w:rsidRDefault="00BA3643" w:rsidP="00E5033E">
      <w:pPr>
        <w:pStyle w:val="Listenabsatz"/>
        <w:numPr>
          <w:ilvl w:val="0"/>
          <w:numId w:val="24"/>
        </w:numPr>
        <w:rPr>
          <w:rFonts w:cs="Arial"/>
          <w:sz w:val="28"/>
          <w:szCs w:val="28"/>
        </w:rPr>
      </w:pPr>
      <w:r w:rsidRPr="00993152">
        <w:rPr>
          <w:rFonts w:cs="Arial"/>
          <w:sz w:val="28"/>
          <w:szCs w:val="28"/>
        </w:rPr>
        <w:t>Heizkosten</w:t>
      </w:r>
    </w:p>
    <w:p w:rsidR="00D016CE" w:rsidRDefault="00D016CE" w:rsidP="00D016CE">
      <w:pPr>
        <w:rPr>
          <w:rFonts w:cs="Arial"/>
          <w:sz w:val="28"/>
          <w:szCs w:val="28"/>
        </w:rPr>
      </w:pPr>
    </w:p>
    <w:p w:rsidR="00D016CE" w:rsidRPr="007F1731" w:rsidRDefault="00D016CE" w:rsidP="00D016CE">
      <w:pPr>
        <w:rPr>
          <w:rFonts w:eastAsia="Times New Roman" w:cs="Arial"/>
          <w:b/>
          <w:sz w:val="24"/>
          <w:szCs w:val="24"/>
          <w:u w:val="single"/>
          <w:lang w:eastAsia="de-DE"/>
        </w:rPr>
      </w:pPr>
    </w:p>
    <w:tbl>
      <w:tblPr>
        <w:tblW w:w="8561" w:type="dxa"/>
        <w:tblInd w:w="55" w:type="dxa"/>
        <w:tblCellMar>
          <w:left w:w="70" w:type="dxa"/>
          <w:right w:w="70" w:type="dxa"/>
        </w:tblCellMar>
        <w:tblLook w:val="0000" w:firstRow="0" w:lastRow="0" w:firstColumn="0" w:lastColumn="0" w:noHBand="0" w:noVBand="0"/>
      </w:tblPr>
      <w:tblGrid>
        <w:gridCol w:w="4002"/>
        <w:gridCol w:w="1078"/>
        <w:gridCol w:w="1078"/>
        <w:gridCol w:w="1215"/>
        <w:gridCol w:w="1188"/>
      </w:tblGrid>
      <w:tr w:rsidR="00D016CE" w:rsidRPr="00D016CE" w:rsidTr="00D016CE">
        <w:trPr>
          <w:trHeight w:val="405"/>
        </w:trPr>
        <w:tc>
          <w:tcPr>
            <w:tcW w:w="8561" w:type="dxa"/>
            <w:gridSpan w:val="5"/>
            <w:tcBorders>
              <w:top w:val="single" w:sz="8" w:space="0" w:color="auto"/>
              <w:left w:val="single" w:sz="8" w:space="0" w:color="auto"/>
              <w:bottom w:val="single" w:sz="8" w:space="0" w:color="auto"/>
              <w:right w:val="single" w:sz="8" w:space="0" w:color="000000"/>
            </w:tcBorders>
            <w:shd w:val="clear" w:color="auto" w:fill="FFFF99"/>
            <w:noWrap/>
            <w:vAlign w:val="center"/>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Angemessene mtl. Grenzwerte für Heiz- und Warmwasserkosten (bei zentraler Warmwasserbereitung) im Landkreis Passau - Ermittlung 10/2015 / Anpassung  01.01.2016</w:t>
            </w:r>
          </w:p>
        </w:tc>
      </w:tr>
      <w:tr w:rsidR="00D016CE" w:rsidRPr="00D016CE" w:rsidTr="00D016CE">
        <w:trPr>
          <w:trHeight w:val="150"/>
        </w:trPr>
        <w:tc>
          <w:tcPr>
            <w:tcW w:w="8561" w:type="dxa"/>
            <w:gridSpan w:val="5"/>
            <w:tcBorders>
              <w:top w:val="single" w:sz="8" w:space="0" w:color="auto"/>
              <w:left w:val="nil"/>
              <w:bottom w:val="single" w:sz="8" w:space="0" w:color="auto"/>
              <w:right w:val="nil"/>
            </w:tcBorders>
            <w:shd w:val="clear" w:color="auto" w:fill="auto"/>
            <w:noWrap/>
            <w:vAlign w:val="bottom"/>
          </w:tcPr>
          <w:p w:rsidR="00D016CE" w:rsidRPr="00D016CE" w:rsidRDefault="00D016CE" w:rsidP="00D016CE">
            <w:pPr>
              <w:rPr>
                <w:rFonts w:eastAsia="Times New Roman" w:cs="Arial"/>
                <w:sz w:val="16"/>
                <w:szCs w:val="16"/>
                <w:lang w:eastAsia="de-DE"/>
              </w:rPr>
            </w:pPr>
            <w:r w:rsidRPr="00D016CE">
              <w:rPr>
                <w:rFonts w:eastAsia="Times New Roman" w:cs="Arial"/>
                <w:sz w:val="16"/>
                <w:szCs w:val="16"/>
                <w:lang w:eastAsia="de-DE"/>
              </w:rPr>
              <w:t> </w:t>
            </w:r>
          </w:p>
        </w:tc>
      </w:tr>
      <w:tr w:rsidR="00D016CE" w:rsidRPr="00D016CE" w:rsidTr="00D016CE">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 xml:space="preserve"> A. Heizöl</w:t>
            </w:r>
          </w:p>
        </w:tc>
      </w:tr>
      <w:tr w:rsidR="00D016CE" w:rsidRPr="00D016CE" w:rsidTr="00D016CE">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tcPr>
          <w:p w:rsidR="00D016CE" w:rsidRPr="00D016CE" w:rsidRDefault="00D016CE" w:rsidP="00D016CE">
            <w:pPr>
              <w:jc w:val="center"/>
              <w:rPr>
                <w:rFonts w:eastAsia="Times New Roman" w:cs="Arial"/>
                <w:sz w:val="16"/>
                <w:szCs w:val="16"/>
                <w:lang w:eastAsia="de-DE"/>
              </w:rPr>
            </w:pPr>
            <w:r w:rsidRPr="00D016CE">
              <w:rPr>
                <w:rFonts w:eastAsia="Times New Roman" w:cs="Arial"/>
                <w:sz w:val="16"/>
                <w:szCs w:val="16"/>
                <w:lang w:eastAsia="de-DE"/>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Gebäudefläche in m</w:t>
            </w:r>
            <w:r w:rsidRPr="00D016CE">
              <w:rPr>
                <w:rFonts w:eastAsia="Times New Roman" w:cs="Arial"/>
                <w:b/>
                <w:bCs/>
                <w:sz w:val="16"/>
                <w:szCs w:val="16"/>
                <w:vertAlign w:val="superscript"/>
                <w:lang w:eastAsia="de-DE"/>
              </w:rPr>
              <w:t>2</w:t>
            </w:r>
            <w:r w:rsidRPr="00D016CE">
              <w:rPr>
                <w:rFonts w:eastAsia="Times New Roman" w:cs="Arial"/>
                <w:b/>
                <w:bCs/>
                <w:sz w:val="16"/>
                <w:szCs w:val="16"/>
                <w:lang w:eastAsia="de-DE"/>
              </w:rPr>
              <w:t xml:space="preserve"> </w:t>
            </w:r>
          </w:p>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(Gesamtheit aller Wohnungen des Gebäudes, in dem die Wohnung liegt)</w:t>
            </w:r>
          </w:p>
        </w:tc>
      </w:tr>
      <w:tr w:rsidR="00D016CE" w:rsidRPr="00D016CE" w:rsidTr="00D016CE">
        <w:trPr>
          <w:trHeight w:val="300"/>
        </w:trPr>
        <w:tc>
          <w:tcPr>
            <w:tcW w:w="4002" w:type="dxa"/>
            <w:vMerge/>
            <w:tcBorders>
              <w:top w:val="nil"/>
              <w:left w:val="single" w:sz="8" w:space="0" w:color="auto"/>
              <w:bottom w:val="single" w:sz="4" w:space="0" w:color="000000"/>
              <w:right w:val="single" w:sz="8" w:space="0" w:color="auto"/>
            </w:tcBorders>
            <w:vAlign w:val="center"/>
          </w:tcPr>
          <w:p w:rsidR="00D016CE" w:rsidRPr="00D016CE" w:rsidRDefault="00D016CE" w:rsidP="00D016CE">
            <w:pPr>
              <w:rPr>
                <w:rFonts w:eastAsia="Times New Roman" w:cs="Arial"/>
                <w:sz w:val="16"/>
                <w:szCs w:val="16"/>
                <w:lang w:eastAsia="de-DE"/>
              </w:rPr>
            </w:pPr>
          </w:p>
        </w:tc>
        <w:tc>
          <w:tcPr>
            <w:tcW w:w="1078"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100 - 250</w:t>
            </w:r>
          </w:p>
        </w:tc>
        <w:tc>
          <w:tcPr>
            <w:tcW w:w="1078"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251 - 500</w:t>
            </w:r>
          </w:p>
        </w:tc>
        <w:tc>
          <w:tcPr>
            <w:tcW w:w="1215"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501 - 1000</w:t>
            </w:r>
          </w:p>
        </w:tc>
        <w:tc>
          <w:tcPr>
            <w:tcW w:w="1188" w:type="dxa"/>
            <w:tcBorders>
              <w:top w:val="nil"/>
              <w:left w:val="nil"/>
              <w:bottom w:val="single" w:sz="4" w:space="0" w:color="auto"/>
              <w:right w:val="single" w:sz="8"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über 1000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1 Person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83,00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80,00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77,00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75,00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2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107,00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103,00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100,00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98,00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3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124,00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119,00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115,00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113,50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4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148,00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143,00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138,00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135,00</w:t>
            </w:r>
          </w:p>
        </w:tc>
      </w:tr>
      <w:tr w:rsidR="00D016CE" w:rsidRPr="00D016CE" w:rsidTr="00D016CE">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25,00</w:t>
            </w:r>
          </w:p>
        </w:tc>
        <w:tc>
          <w:tcPr>
            <w:tcW w:w="1078"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24,00</w:t>
            </w:r>
          </w:p>
        </w:tc>
        <w:tc>
          <w:tcPr>
            <w:tcW w:w="1215"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23,00</w:t>
            </w:r>
          </w:p>
        </w:tc>
        <w:tc>
          <w:tcPr>
            <w:tcW w:w="1188" w:type="dxa"/>
            <w:tcBorders>
              <w:top w:val="nil"/>
              <w:left w:val="nil"/>
              <w:bottom w:val="single" w:sz="8"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23,00</w:t>
            </w:r>
          </w:p>
        </w:tc>
      </w:tr>
      <w:tr w:rsidR="00D016CE" w:rsidRPr="00D016CE" w:rsidTr="00D016CE">
        <w:trPr>
          <w:trHeight w:val="165"/>
        </w:trPr>
        <w:tc>
          <w:tcPr>
            <w:tcW w:w="8561" w:type="dxa"/>
            <w:gridSpan w:val="5"/>
            <w:tcBorders>
              <w:top w:val="single" w:sz="8" w:space="0" w:color="auto"/>
              <w:left w:val="nil"/>
              <w:bottom w:val="single" w:sz="8" w:space="0" w:color="auto"/>
              <w:right w:val="nil"/>
            </w:tcBorders>
            <w:shd w:val="clear" w:color="auto" w:fill="auto"/>
            <w:noWrap/>
            <w:vAlign w:val="bottom"/>
          </w:tcPr>
          <w:p w:rsidR="00D016CE" w:rsidRPr="00D016CE" w:rsidRDefault="00D016CE" w:rsidP="00D016CE">
            <w:pPr>
              <w:rPr>
                <w:rFonts w:eastAsia="Times New Roman" w:cs="Arial"/>
                <w:sz w:val="16"/>
                <w:szCs w:val="16"/>
                <w:lang w:eastAsia="de-DE"/>
              </w:rPr>
            </w:pPr>
            <w:r w:rsidRPr="00D016CE">
              <w:rPr>
                <w:rFonts w:eastAsia="Times New Roman" w:cs="Arial"/>
                <w:sz w:val="16"/>
                <w:szCs w:val="16"/>
                <w:lang w:eastAsia="de-DE"/>
              </w:rPr>
              <w:t> </w:t>
            </w:r>
          </w:p>
        </w:tc>
      </w:tr>
      <w:tr w:rsidR="00D016CE" w:rsidRPr="00D016CE" w:rsidTr="00D016CE">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 xml:space="preserve"> B. Erdgas</w:t>
            </w:r>
          </w:p>
        </w:tc>
      </w:tr>
      <w:tr w:rsidR="00D016CE" w:rsidRPr="00D016CE" w:rsidTr="00D016CE">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tcPr>
          <w:p w:rsidR="00D016CE" w:rsidRPr="00D016CE" w:rsidRDefault="00D016CE" w:rsidP="00D016CE">
            <w:pPr>
              <w:jc w:val="center"/>
              <w:rPr>
                <w:rFonts w:eastAsia="Times New Roman" w:cs="Arial"/>
                <w:sz w:val="16"/>
                <w:szCs w:val="16"/>
                <w:lang w:eastAsia="de-DE"/>
              </w:rPr>
            </w:pPr>
            <w:r w:rsidRPr="00D016CE">
              <w:rPr>
                <w:rFonts w:eastAsia="Times New Roman" w:cs="Arial"/>
                <w:sz w:val="16"/>
                <w:szCs w:val="16"/>
                <w:lang w:eastAsia="de-DE"/>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Gebäudefläche in m</w:t>
            </w:r>
            <w:r w:rsidRPr="00D016CE">
              <w:rPr>
                <w:rFonts w:eastAsia="Times New Roman" w:cs="Arial"/>
                <w:b/>
                <w:bCs/>
                <w:sz w:val="16"/>
                <w:szCs w:val="16"/>
                <w:vertAlign w:val="superscript"/>
                <w:lang w:eastAsia="de-DE"/>
              </w:rPr>
              <w:t>2</w:t>
            </w:r>
            <w:r w:rsidRPr="00D016CE">
              <w:rPr>
                <w:rFonts w:eastAsia="Times New Roman" w:cs="Arial"/>
                <w:b/>
                <w:bCs/>
                <w:sz w:val="16"/>
                <w:szCs w:val="16"/>
                <w:lang w:eastAsia="de-DE"/>
              </w:rPr>
              <w:t xml:space="preserve"> </w:t>
            </w:r>
          </w:p>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(Gesamtheit aller Wohnungen des Gebäudes, in dem die Wohnung liegt)</w:t>
            </w:r>
          </w:p>
        </w:tc>
      </w:tr>
      <w:tr w:rsidR="00D016CE" w:rsidRPr="00D016CE" w:rsidTr="00D016CE">
        <w:trPr>
          <w:trHeight w:val="300"/>
        </w:trPr>
        <w:tc>
          <w:tcPr>
            <w:tcW w:w="4002" w:type="dxa"/>
            <w:vMerge/>
            <w:tcBorders>
              <w:top w:val="nil"/>
              <w:left w:val="single" w:sz="8" w:space="0" w:color="auto"/>
              <w:bottom w:val="single" w:sz="4" w:space="0" w:color="000000"/>
              <w:right w:val="single" w:sz="8" w:space="0" w:color="auto"/>
            </w:tcBorders>
            <w:vAlign w:val="center"/>
          </w:tcPr>
          <w:p w:rsidR="00D016CE" w:rsidRPr="00D016CE" w:rsidRDefault="00D016CE" w:rsidP="00D016CE">
            <w:pPr>
              <w:rPr>
                <w:rFonts w:eastAsia="Times New Roman" w:cs="Arial"/>
                <w:sz w:val="16"/>
                <w:szCs w:val="16"/>
                <w:lang w:eastAsia="de-DE"/>
              </w:rPr>
            </w:pPr>
          </w:p>
        </w:tc>
        <w:tc>
          <w:tcPr>
            <w:tcW w:w="1078"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100 - 250</w:t>
            </w:r>
          </w:p>
        </w:tc>
        <w:tc>
          <w:tcPr>
            <w:tcW w:w="1078"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251 - 500</w:t>
            </w:r>
          </w:p>
        </w:tc>
        <w:tc>
          <w:tcPr>
            <w:tcW w:w="1215"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501 - 1000</w:t>
            </w:r>
          </w:p>
        </w:tc>
        <w:tc>
          <w:tcPr>
            <w:tcW w:w="1188" w:type="dxa"/>
            <w:tcBorders>
              <w:top w:val="nil"/>
              <w:left w:val="nil"/>
              <w:bottom w:val="single" w:sz="4" w:space="0" w:color="auto"/>
              <w:right w:val="single" w:sz="8"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über 1000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1 Person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79,00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75,00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72,00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70,00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2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103,00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97,00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93,00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90,00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3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119,00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112,00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107,00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103,75</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4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142,00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135,00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129,00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125,00</w:t>
            </w:r>
          </w:p>
        </w:tc>
      </w:tr>
      <w:tr w:rsidR="00D016CE" w:rsidRPr="00D016CE" w:rsidTr="00D016CE">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24,00</w:t>
            </w:r>
          </w:p>
        </w:tc>
        <w:tc>
          <w:tcPr>
            <w:tcW w:w="1078"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23,00</w:t>
            </w:r>
          </w:p>
        </w:tc>
        <w:tc>
          <w:tcPr>
            <w:tcW w:w="1215"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22,00</w:t>
            </w:r>
          </w:p>
        </w:tc>
        <w:tc>
          <w:tcPr>
            <w:tcW w:w="1188" w:type="dxa"/>
            <w:tcBorders>
              <w:top w:val="nil"/>
              <w:left w:val="nil"/>
              <w:bottom w:val="single" w:sz="8"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21,00</w:t>
            </w:r>
          </w:p>
        </w:tc>
      </w:tr>
      <w:tr w:rsidR="00D016CE" w:rsidRPr="00D016CE" w:rsidTr="00D016CE">
        <w:trPr>
          <w:trHeight w:val="150"/>
        </w:trPr>
        <w:tc>
          <w:tcPr>
            <w:tcW w:w="8561" w:type="dxa"/>
            <w:gridSpan w:val="5"/>
            <w:tcBorders>
              <w:top w:val="single" w:sz="8" w:space="0" w:color="auto"/>
              <w:left w:val="nil"/>
              <w:bottom w:val="single" w:sz="8" w:space="0" w:color="auto"/>
              <w:right w:val="nil"/>
            </w:tcBorders>
            <w:shd w:val="clear" w:color="auto" w:fill="auto"/>
            <w:noWrap/>
            <w:vAlign w:val="bottom"/>
          </w:tcPr>
          <w:p w:rsidR="00D016CE" w:rsidRPr="00D016CE" w:rsidRDefault="00D016CE" w:rsidP="00D016CE">
            <w:pPr>
              <w:rPr>
                <w:rFonts w:eastAsia="Times New Roman" w:cs="Arial"/>
                <w:sz w:val="16"/>
                <w:szCs w:val="16"/>
                <w:lang w:eastAsia="de-DE"/>
              </w:rPr>
            </w:pPr>
            <w:r w:rsidRPr="00D016CE">
              <w:rPr>
                <w:rFonts w:eastAsia="Times New Roman" w:cs="Arial"/>
                <w:sz w:val="16"/>
                <w:szCs w:val="16"/>
                <w:lang w:eastAsia="de-DE"/>
              </w:rPr>
              <w:t> </w:t>
            </w:r>
          </w:p>
        </w:tc>
      </w:tr>
      <w:tr w:rsidR="00D016CE" w:rsidRPr="00D016CE" w:rsidTr="00D016CE">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 xml:space="preserve"> C. Fernwärme</w:t>
            </w:r>
          </w:p>
        </w:tc>
      </w:tr>
      <w:tr w:rsidR="00D016CE" w:rsidRPr="00D016CE" w:rsidTr="00D016CE">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tcPr>
          <w:p w:rsidR="00D016CE" w:rsidRPr="00D016CE" w:rsidRDefault="00D016CE" w:rsidP="00D016CE">
            <w:pPr>
              <w:jc w:val="center"/>
              <w:rPr>
                <w:rFonts w:eastAsia="Times New Roman" w:cs="Arial"/>
                <w:sz w:val="16"/>
                <w:szCs w:val="16"/>
                <w:lang w:eastAsia="de-DE"/>
              </w:rPr>
            </w:pPr>
            <w:r w:rsidRPr="00D016CE">
              <w:rPr>
                <w:rFonts w:eastAsia="Times New Roman" w:cs="Arial"/>
                <w:sz w:val="16"/>
                <w:szCs w:val="16"/>
                <w:lang w:eastAsia="de-DE"/>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Gebäudefläche in m</w:t>
            </w:r>
            <w:r w:rsidRPr="00D016CE">
              <w:rPr>
                <w:rFonts w:eastAsia="Times New Roman" w:cs="Arial"/>
                <w:b/>
                <w:bCs/>
                <w:sz w:val="16"/>
                <w:szCs w:val="16"/>
                <w:vertAlign w:val="superscript"/>
                <w:lang w:eastAsia="de-DE"/>
              </w:rPr>
              <w:t>2</w:t>
            </w:r>
            <w:r w:rsidRPr="00D016CE">
              <w:rPr>
                <w:rFonts w:eastAsia="Times New Roman" w:cs="Arial"/>
                <w:b/>
                <w:bCs/>
                <w:sz w:val="16"/>
                <w:szCs w:val="16"/>
                <w:lang w:eastAsia="de-DE"/>
              </w:rPr>
              <w:t xml:space="preserve"> </w:t>
            </w:r>
          </w:p>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(Gesamtheit aller Wohnungen des Gebäudes, in dem die Wohnung liegt)</w:t>
            </w:r>
          </w:p>
        </w:tc>
      </w:tr>
      <w:tr w:rsidR="00D016CE" w:rsidRPr="00D016CE" w:rsidTr="00D016CE">
        <w:trPr>
          <w:trHeight w:val="300"/>
        </w:trPr>
        <w:tc>
          <w:tcPr>
            <w:tcW w:w="4002" w:type="dxa"/>
            <w:vMerge/>
            <w:tcBorders>
              <w:top w:val="nil"/>
              <w:left w:val="single" w:sz="8" w:space="0" w:color="auto"/>
              <w:bottom w:val="single" w:sz="4" w:space="0" w:color="000000"/>
              <w:right w:val="single" w:sz="8" w:space="0" w:color="auto"/>
            </w:tcBorders>
            <w:vAlign w:val="center"/>
          </w:tcPr>
          <w:p w:rsidR="00D016CE" w:rsidRPr="00D016CE" w:rsidRDefault="00D016CE" w:rsidP="00D016CE">
            <w:pPr>
              <w:rPr>
                <w:rFonts w:eastAsia="Times New Roman" w:cs="Arial"/>
                <w:sz w:val="16"/>
                <w:szCs w:val="16"/>
                <w:lang w:eastAsia="de-DE"/>
              </w:rPr>
            </w:pPr>
          </w:p>
        </w:tc>
        <w:tc>
          <w:tcPr>
            <w:tcW w:w="1078"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100 - 250</w:t>
            </w:r>
          </w:p>
        </w:tc>
        <w:tc>
          <w:tcPr>
            <w:tcW w:w="1078"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251 - 500</w:t>
            </w:r>
          </w:p>
        </w:tc>
        <w:tc>
          <w:tcPr>
            <w:tcW w:w="1215" w:type="dxa"/>
            <w:tcBorders>
              <w:top w:val="nil"/>
              <w:left w:val="nil"/>
              <w:bottom w:val="single" w:sz="4" w:space="0" w:color="auto"/>
              <w:right w:val="single" w:sz="4"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501 - 1000</w:t>
            </w:r>
          </w:p>
        </w:tc>
        <w:tc>
          <w:tcPr>
            <w:tcW w:w="1188" w:type="dxa"/>
            <w:tcBorders>
              <w:top w:val="nil"/>
              <w:left w:val="nil"/>
              <w:bottom w:val="single" w:sz="4" w:space="0" w:color="auto"/>
              <w:right w:val="single" w:sz="8" w:space="0" w:color="auto"/>
            </w:tcBorders>
            <w:shd w:val="clear" w:color="auto" w:fill="FFCC00"/>
            <w:noWrap/>
            <w:vAlign w:val="bottom"/>
          </w:tcPr>
          <w:p w:rsidR="00D016CE" w:rsidRPr="00D016CE" w:rsidRDefault="00D016CE" w:rsidP="00D016CE">
            <w:pPr>
              <w:jc w:val="center"/>
              <w:rPr>
                <w:rFonts w:eastAsia="Times New Roman" w:cs="Arial"/>
                <w:b/>
                <w:bCs/>
                <w:sz w:val="16"/>
                <w:szCs w:val="16"/>
                <w:lang w:eastAsia="de-DE"/>
              </w:rPr>
            </w:pPr>
            <w:r w:rsidRPr="00D016CE">
              <w:rPr>
                <w:rFonts w:eastAsia="Times New Roman" w:cs="Arial"/>
                <w:b/>
                <w:bCs/>
                <w:sz w:val="16"/>
                <w:szCs w:val="16"/>
                <w:lang w:eastAsia="de-DE"/>
              </w:rPr>
              <w:t>über 1000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1 Person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93,00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90,00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87,00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84,00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2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121,00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116,00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113,00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109,00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3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140,00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134,00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130,00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126,00</w:t>
            </w:r>
          </w:p>
        </w:tc>
      </w:tr>
      <w:tr w:rsidR="00D016CE" w:rsidRPr="00D016CE" w:rsidTr="00D016CE">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4 Personen</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168,00</w:t>
            </w:r>
          </w:p>
        </w:tc>
        <w:tc>
          <w:tcPr>
            <w:tcW w:w="1078"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161,00</w:t>
            </w:r>
          </w:p>
        </w:tc>
        <w:tc>
          <w:tcPr>
            <w:tcW w:w="1215" w:type="dxa"/>
            <w:tcBorders>
              <w:top w:val="nil"/>
              <w:left w:val="nil"/>
              <w:bottom w:val="single" w:sz="4"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156,00</w:t>
            </w:r>
          </w:p>
        </w:tc>
        <w:tc>
          <w:tcPr>
            <w:tcW w:w="1188" w:type="dxa"/>
            <w:tcBorders>
              <w:top w:val="nil"/>
              <w:left w:val="nil"/>
              <w:bottom w:val="single" w:sz="4"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151,00</w:t>
            </w:r>
          </w:p>
        </w:tc>
      </w:tr>
      <w:tr w:rsidR="00D016CE" w:rsidRPr="00D016CE" w:rsidTr="00D016CE">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tcPr>
          <w:p w:rsidR="00D016CE" w:rsidRPr="00D016CE" w:rsidRDefault="00D016CE" w:rsidP="00D016CE">
            <w:pPr>
              <w:rPr>
                <w:rFonts w:eastAsia="Times New Roman" w:cs="Arial"/>
                <w:b/>
                <w:bCs/>
                <w:sz w:val="16"/>
                <w:szCs w:val="16"/>
                <w:lang w:eastAsia="de-DE"/>
              </w:rPr>
            </w:pPr>
            <w:r w:rsidRPr="00D016CE">
              <w:rPr>
                <w:rFonts w:eastAsia="Times New Roman" w:cs="Arial"/>
                <w:b/>
                <w:bCs/>
                <w:sz w:val="16"/>
                <w:szCs w:val="16"/>
                <w:lang w:eastAsia="de-DE"/>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28,00</w:t>
            </w:r>
          </w:p>
        </w:tc>
        <w:tc>
          <w:tcPr>
            <w:tcW w:w="1078"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27,00</w:t>
            </w:r>
          </w:p>
        </w:tc>
        <w:tc>
          <w:tcPr>
            <w:tcW w:w="1215" w:type="dxa"/>
            <w:tcBorders>
              <w:top w:val="nil"/>
              <w:left w:val="nil"/>
              <w:bottom w:val="single" w:sz="8" w:space="0" w:color="auto"/>
              <w:right w:val="single" w:sz="4"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26,00</w:t>
            </w:r>
          </w:p>
        </w:tc>
        <w:tc>
          <w:tcPr>
            <w:tcW w:w="1188" w:type="dxa"/>
            <w:tcBorders>
              <w:top w:val="nil"/>
              <w:left w:val="nil"/>
              <w:bottom w:val="single" w:sz="8" w:space="0" w:color="auto"/>
              <w:right w:val="single" w:sz="8" w:space="0" w:color="auto"/>
            </w:tcBorders>
            <w:shd w:val="clear" w:color="auto" w:fill="FFFF99"/>
            <w:noWrap/>
            <w:vAlign w:val="bottom"/>
          </w:tcPr>
          <w:p w:rsidR="00D016CE" w:rsidRPr="00D016CE" w:rsidRDefault="00D016CE" w:rsidP="00D016CE">
            <w:pPr>
              <w:jc w:val="right"/>
              <w:rPr>
                <w:rFonts w:eastAsia="Times New Roman" w:cs="Arial"/>
                <w:sz w:val="16"/>
                <w:szCs w:val="16"/>
                <w:lang w:eastAsia="de-DE"/>
              </w:rPr>
            </w:pPr>
            <w:r w:rsidRPr="00D016CE">
              <w:rPr>
                <w:rFonts w:eastAsia="Times New Roman" w:cs="Arial"/>
                <w:sz w:val="16"/>
                <w:szCs w:val="16"/>
                <w:lang w:eastAsia="de-DE"/>
              </w:rPr>
              <w:t>26,00</w:t>
            </w:r>
          </w:p>
        </w:tc>
      </w:tr>
    </w:tbl>
    <w:p w:rsidR="00D016CE" w:rsidRPr="00D016CE" w:rsidRDefault="00D016CE" w:rsidP="00D016CE">
      <w:pPr>
        <w:rPr>
          <w:rFonts w:eastAsia="Times New Roman" w:cs="Arial"/>
          <w:sz w:val="16"/>
          <w:szCs w:val="16"/>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016CE" w:rsidRPr="00D016CE" w:rsidTr="00D016CE">
        <w:tc>
          <w:tcPr>
            <w:tcW w:w="8640" w:type="dxa"/>
            <w:tcBorders>
              <w:top w:val="single" w:sz="4" w:space="0" w:color="auto"/>
              <w:left w:val="single" w:sz="4" w:space="0" w:color="auto"/>
              <w:bottom w:val="single" w:sz="4" w:space="0" w:color="auto"/>
              <w:right w:val="single" w:sz="4" w:space="0" w:color="auto"/>
            </w:tcBorders>
          </w:tcPr>
          <w:p w:rsidR="00D016CE" w:rsidRPr="00D016CE" w:rsidRDefault="00D016CE" w:rsidP="00D016CE">
            <w:pPr>
              <w:rPr>
                <w:rFonts w:cs="Arial"/>
                <w:sz w:val="16"/>
                <w:szCs w:val="16"/>
              </w:rPr>
            </w:pPr>
            <w:r w:rsidRPr="00D016CE">
              <w:rPr>
                <w:rFonts w:cs="Arial"/>
                <w:sz w:val="16"/>
                <w:szCs w:val="16"/>
              </w:rPr>
              <w:t xml:space="preserve">Die </w:t>
            </w:r>
            <w:r w:rsidRPr="00D016CE">
              <w:rPr>
                <w:rFonts w:cs="Arial"/>
                <w:b/>
                <w:sz w:val="16"/>
                <w:szCs w:val="16"/>
              </w:rPr>
              <w:t xml:space="preserve"> bei Holzheizung (Holzzentral-bzw. Holzeinzelofenheizung) anfallenden  Heizkosten</w:t>
            </w:r>
            <w:r w:rsidRPr="00D016CE">
              <w:rPr>
                <w:rFonts w:cs="Arial"/>
                <w:sz w:val="16"/>
                <w:szCs w:val="16"/>
              </w:rPr>
              <w:t xml:space="preserve"> werden nach Bedarf anerkannt / bewilligt. Richtwert für die Angemessenheit ist hierfür der entsprechende Wert aus der Tabelle A. Heizöl.</w:t>
            </w:r>
          </w:p>
        </w:tc>
      </w:tr>
      <w:tr w:rsidR="00D016CE" w:rsidRPr="00D016CE" w:rsidTr="00D016CE">
        <w:tc>
          <w:tcPr>
            <w:tcW w:w="8640" w:type="dxa"/>
            <w:tcBorders>
              <w:top w:val="single" w:sz="4" w:space="0" w:color="auto"/>
              <w:left w:val="single" w:sz="4" w:space="0" w:color="auto"/>
              <w:bottom w:val="single" w:sz="4" w:space="0" w:color="auto"/>
              <w:right w:val="single" w:sz="4" w:space="0" w:color="auto"/>
            </w:tcBorders>
          </w:tcPr>
          <w:p w:rsidR="00D016CE" w:rsidRPr="00D016CE" w:rsidRDefault="00D016CE" w:rsidP="00D016CE">
            <w:pPr>
              <w:jc w:val="both"/>
              <w:rPr>
                <w:rFonts w:cs="Arial"/>
                <w:b/>
                <w:sz w:val="16"/>
                <w:szCs w:val="16"/>
              </w:rPr>
            </w:pPr>
            <w:r w:rsidRPr="00D016CE">
              <w:rPr>
                <w:rFonts w:cs="Arial"/>
                <w:b/>
                <w:sz w:val="16"/>
                <w:szCs w:val="16"/>
              </w:rPr>
              <w:t>Stromheizung</w:t>
            </w:r>
          </w:p>
          <w:p w:rsidR="00D016CE" w:rsidRPr="00D016CE" w:rsidRDefault="00D016CE" w:rsidP="00D016CE">
            <w:pPr>
              <w:jc w:val="both"/>
              <w:rPr>
                <w:rFonts w:cs="Arial"/>
                <w:b/>
                <w:sz w:val="16"/>
                <w:szCs w:val="16"/>
              </w:rPr>
            </w:pPr>
            <w:r w:rsidRPr="00D016CE">
              <w:rPr>
                <w:rFonts w:cs="Arial"/>
                <w:sz w:val="16"/>
                <w:szCs w:val="16"/>
              </w:rPr>
              <w:t>Weil dem Bundesweiten Heizspiegel keine Vergleichswerte für eine elektrische Heizung zu entnehmen sind, wird in analoger Anwendung des Urteiles des BSG vom 12.06.2013, B 14 AS 60/12 R- ab 01.01.2015 auf den ungünstigsten (100-250 m²) Heizkostenverbrauch einer Fernwärmeheizung als Richtwert zurückgegriffen</w:t>
            </w:r>
          </w:p>
        </w:tc>
      </w:tr>
    </w:tbl>
    <w:p w:rsidR="00D016CE" w:rsidRPr="00D016CE" w:rsidRDefault="00D016CE" w:rsidP="00D016CE">
      <w:pPr>
        <w:rPr>
          <w:rFonts w:eastAsia="Times New Roman" w:cs="Arial"/>
          <w:sz w:val="16"/>
          <w:szCs w:val="16"/>
          <w:lang w:eastAsia="de-DE"/>
        </w:rPr>
      </w:pPr>
    </w:p>
    <w:p w:rsidR="00D016CE" w:rsidRPr="00D016CE" w:rsidRDefault="00D016CE" w:rsidP="00D016CE">
      <w:pPr>
        <w:rPr>
          <w:rFonts w:eastAsia="Times New Roman" w:cs="Arial"/>
          <w:sz w:val="16"/>
          <w:szCs w:val="16"/>
          <w:lang w:eastAsia="de-DE"/>
        </w:rPr>
      </w:pPr>
    </w:p>
    <w:p w:rsidR="00D016CE" w:rsidRPr="00D016CE" w:rsidRDefault="00D016CE" w:rsidP="00D016CE">
      <w:pPr>
        <w:jc w:val="both"/>
        <w:rPr>
          <w:rFonts w:cs="Arial"/>
          <w:sz w:val="16"/>
          <w:szCs w:val="16"/>
        </w:rPr>
      </w:pPr>
    </w:p>
    <w:p w:rsidR="00D016CE" w:rsidRPr="00D016CE" w:rsidRDefault="00D016CE" w:rsidP="00D016CE">
      <w:pPr>
        <w:rPr>
          <w:rFonts w:cs="Arial"/>
          <w:sz w:val="16"/>
          <w:szCs w:val="16"/>
        </w:rPr>
      </w:pPr>
    </w:p>
    <w:p w:rsidR="00D016CE" w:rsidRPr="00D016CE" w:rsidRDefault="00D016CE" w:rsidP="00D016CE">
      <w:pPr>
        <w:jc w:val="both"/>
        <w:rPr>
          <w:rFonts w:cs="Arial"/>
          <w:sz w:val="16"/>
          <w:szCs w:val="16"/>
        </w:rPr>
      </w:pPr>
      <w:r w:rsidRPr="00D016CE">
        <w:rPr>
          <w:rFonts w:cs="Arial"/>
          <w:sz w:val="16"/>
          <w:szCs w:val="16"/>
        </w:rPr>
        <w:t>Anteile Haushaltsenergie ab 2016 in EUR:</w:t>
      </w:r>
    </w:p>
    <w:p w:rsidR="00D016CE" w:rsidRPr="00D016CE" w:rsidRDefault="00D016CE" w:rsidP="00D016CE">
      <w:pPr>
        <w:jc w:val="both"/>
        <w:rPr>
          <w:rFonts w:cs="Arial"/>
          <w:sz w:val="16"/>
          <w:szCs w:val="16"/>
        </w:rPr>
      </w:pPr>
      <w:r w:rsidRPr="00D016CE">
        <w:rPr>
          <w:rFonts w:cs="Arial"/>
          <w:sz w:val="16"/>
          <w:szCs w:val="16"/>
        </w:rPr>
        <w:t>RB 404 = 29,93;  RB 364 = 26,96;  RB 324 = 24,00;  RB 306 = 9,41</w:t>
      </w:r>
    </w:p>
    <w:p w:rsidR="00D016CE" w:rsidRPr="00D016CE" w:rsidRDefault="00D016CE" w:rsidP="00D016CE">
      <w:pPr>
        <w:tabs>
          <w:tab w:val="center" w:pos="4536"/>
        </w:tabs>
        <w:jc w:val="both"/>
        <w:rPr>
          <w:rFonts w:cs="Arial"/>
          <w:sz w:val="16"/>
          <w:szCs w:val="16"/>
        </w:rPr>
      </w:pPr>
      <w:r w:rsidRPr="00D016CE">
        <w:rPr>
          <w:rFonts w:cs="Arial"/>
          <w:sz w:val="16"/>
          <w:szCs w:val="16"/>
        </w:rPr>
        <w:t xml:space="preserve">RB 270 =   9,04;   RB 237 =   5,96. </w:t>
      </w:r>
      <w:r w:rsidRPr="00D016CE">
        <w:rPr>
          <w:rFonts w:cs="Arial"/>
          <w:sz w:val="16"/>
          <w:szCs w:val="16"/>
        </w:rPr>
        <w:tab/>
      </w:r>
    </w:p>
    <w:p w:rsidR="00D016CE" w:rsidRPr="00D016CE" w:rsidRDefault="00D016CE" w:rsidP="00D016CE">
      <w:pPr>
        <w:rPr>
          <w:rFonts w:cs="Arial"/>
          <w:sz w:val="16"/>
          <w:szCs w:val="16"/>
        </w:rPr>
      </w:pPr>
    </w:p>
    <w:p w:rsidR="00D016CE" w:rsidRPr="00D016CE" w:rsidRDefault="00D016CE" w:rsidP="00D016CE">
      <w:pPr>
        <w:rPr>
          <w:rFonts w:cs="Arial"/>
          <w:sz w:val="28"/>
          <w:szCs w:val="28"/>
        </w:rPr>
      </w:pPr>
    </w:p>
    <w:p w:rsidR="007F1731" w:rsidRPr="00993152" w:rsidRDefault="007F1731" w:rsidP="007F1731">
      <w:pPr>
        <w:jc w:val="both"/>
        <w:rPr>
          <w:rFonts w:cs="Arial"/>
        </w:rPr>
      </w:pPr>
    </w:p>
    <w:tbl>
      <w:tblPr>
        <w:tblW w:w="8561" w:type="dxa"/>
        <w:tblInd w:w="55" w:type="dxa"/>
        <w:tblCellMar>
          <w:left w:w="70" w:type="dxa"/>
          <w:right w:w="70" w:type="dxa"/>
        </w:tblCellMar>
        <w:tblLook w:val="04A0" w:firstRow="1" w:lastRow="0" w:firstColumn="1" w:lastColumn="0" w:noHBand="0" w:noVBand="1"/>
      </w:tblPr>
      <w:tblGrid>
        <w:gridCol w:w="4002"/>
        <w:gridCol w:w="1078"/>
        <w:gridCol w:w="1078"/>
        <w:gridCol w:w="1215"/>
        <w:gridCol w:w="1188"/>
      </w:tblGrid>
      <w:tr w:rsidR="007F1731" w:rsidRPr="006F7135" w:rsidTr="00E82B9B">
        <w:trPr>
          <w:trHeight w:val="405"/>
        </w:trPr>
        <w:tc>
          <w:tcPr>
            <w:tcW w:w="8561" w:type="dxa"/>
            <w:gridSpan w:val="5"/>
            <w:tcBorders>
              <w:top w:val="single" w:sz="8" w:space="0" w:color="auto"/>
              <w:left w:val="single" w:sz="8" w:space="0" w:color="auto"/>
              <w:bottom w:val="single" w:sz="8" w:space="0" w:color="auto"/>
              <w:right w:val="single" w:sz="8" w:space="0" w:color="000000"/>
            </w:tcBorders>
            <w:shd w:val="clear" w:color="auto" w:fill="FFFF99"/>
            <w:noWrap/>
            <w:vAlign w:val="center"/>
            <w:hideMark/>
          </w:tcPr>
          <w:p w:rsidR="007F1731" w:rsidRPr="006F7135" w:rsidRDefault="007F1731" w:rsidP="00E82B9B">
            <w:pPr>
              <w:jc w:val="center"/>
              <w:rPr>
                <w:rFonts w:cs="Arial"/>
                <w:b/>
                <w:bCs/>
                <w:sz w:val="16"/>
                <w:szCs w:val="16"/>
              </w:rPr>
            </w:pPr>
            <w:r w:rsidRPr="006F7135">
              <w:rPr>
                <w:rFonts w:cs="Arial"/>
                <w:b/>
                <w:bCs/>
                <w:sz w:val="16"/>
                <w:szCs w:val="16"/>
              </w:rPr>
              <w:t xml:space="preserve">Angemessene mtl. Grenzwerte für Heiz- und Warmwasserkosten (bei zentraler Warmwasserbereitung)  im Landkreis Passau </w:t>
            </w:r>
          </w:p>
          <w:p w:rsidR="007F1731" w:rsidRPr="006F7135" w:rsidRDefault="007F1731" w:rsidP="00E82B9B">
            <w:pPr>
              <w:jc w:val="center"/>
              <w:rPr>
                <w:rFonts w:cs="Arial"/>
                <w:b/>
                <w:bCs/>
                <w:sz w:val="16"/>
                <w:szCs w:val="16"/>
              </w:rPr>
            </w:pPr>
            <w:r w:rsidRPr="006F7135">
              <w:rPr>
                <w:rFonts w:cs="Arial"/>
                <w:b/>
                <w:bCs/>
                <w:sz w:val="16"/>
                <w:szCs w:val="16"/>
              </w:rPr>
              <w:t>Ermittlung 10/2014 / Anpassung  01.01.2015</w:t>
            </w:r>
          </w:p>
        </w:tc>
      </w:tr>
      <w:tr w:rsidR="007F1731" w:rsidRPr="006F7135" w:rsidTr="00E82B9B">
        <w:trPr>
          <w:trHeight w:val="150"/>
        </w:trPr>
        <w:tc>
          <w:tcPr>
            <w:tcW w:w="8561" w:type="dxa"/>
            <w:gridSpan w:val="5"/>
            <w:tcBorders>
              <w:top w:val="single" w:sz="8" w:space="0" w:color="auto"/>
              <w:left w:val="nil"/>
              <w:bottom w:val="single" w:sz="8" w:space="0" w:color="auto"/>
              <w:right w:val="nil"/>
            </w:tcBorders>
            <w:noWrap/>
            <w:vAlign w:val="bottom"/>
            <w:hideMark/>
          </w:tcPr>
          <w:p w:rsidR="007F1731" w:rsidRPr="006F7135" w:rsidRDefault="007F1731" w:rsidP="00E82B9B">
            <w:pPr>
              <w:rPr>
                <w:rFonts w:cs="Arial"/>
                <w:sz w:val="16"/>
                <w:szCs w:val="16"/>
              </w:rPr>
            </w:pPr>
            <w:r w:rsidRPr="006F7135">
              <w:rPr>
                <w:rFonts w:cs="Arial"/>
                <w:sz w:val="16"/>
                <w:szCs w:val="16"/>
              </w:rPr>
              <w:t> </w:t>
            </w:r>
          </w:p>
        </w:tc>
      </w:tr>
      <w:tr w:rsidR="007F1731" w:rsidRPr="006F7135" w:rsidTr="00E82B9B">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hideMark/>
          </w:tcPr>
          <w:p w:rsidR="007F1731" w:rsidRPr="006F7135" w:rsidRDefault="007F1731" w:rsidP="00E82B9B">
            <w:pPr>
              <w:rPr>
                <w:rFonts w:cs="Arial"/>
                <w:b/>
                <w:bCs/>
                <w:sz w:val="16"/>
                <w:szCs w:val="16"/>
              </w:rPr>
            </w:pPr>
            <w:r w:rsidRPr="006F7135">
              <w:rPr>
                <w:rFonts w:cs="Arial"/>
                <w:b/>
                <w:bCs/>
                <w:sz w:val="16"/>
                <w:szCs w:val="16"/>
              </w:rPr>
              <w:t xml:space="preserve"> A. Heizöl</w:t>
            </w:r>
          </w:p>
        </w:tc>
      </w:tr>
      <w:tr w:rsidR="007F1731" w:rsidRPr="006F7135" w:rsidTr="00E82B9B">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hideMark/>
          </w:tcPr>
          <w:p w:rsidR="007F1731" w:rsidRPr="006F7135" w:rsidRDefault="007F1731" w:rsidP="00E82B9B">
            <w:pPr>
              <w:jc w:val="center"/>
              <w:rPr>
                <w:rFonts w:cs="Arial"/>
                <w:sz w:val="16"/>
                <w:szCs w:val="16"/>
              </w:rPr>
            </w:pPr>
            <w:r w:rsidRPr="006F7135">
              <w:rPr>
                <w:rFonts w:cs="Arial"/>
                <w:sz w:val="16"/>
                <w:szCs w:val="16"/>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hideMark/>
          </w:tcPr>
          <w:p w:rsidR="007F1731" w:rsidRPr="006F7135" w:rsidRDefault="007F1731" w:rsidP="00E82B9B">
            <w:pPr>
              <w:jc w:val="center"/>
              <w:rPr>
                <w:rFonts w:cs="Arial"/>
                <w:b/>
                <w:bCs/>
                <w:sz w:val="16"/>
                <w:szCs w:val="16"/>
              </w:rPr>
            </w:pPr>
            <w:r w:rsidRPr="006F7135">
              <w:rPr>
                <w:rFonts w:cs="Arial"/>
                <w:b/>
                <w:bCs/>
                <w:sz w:val="16"/>
                <w:szCs w:val="16"/>
              </w:rPr>
              <w:t>Gebäudefläche in m</w:t>
            </w:r>
            <w:r w:rsidRPr="006F7135">
              <w:rPr>
                <w:rFonts w:cs="Arial"/>
                <w:b/>
                <w:bCs/>
                <w:sz w:val="16"/>
                <w:szCs w:val="16"/>
                <w:vertAlign w:val="superscript"/>
              </w:rPr>
              <w:t>2</w:t>
            </w:r>
            <w:r w:rsidRPr="006F7135">
              <w:rPr>
                <w:rFonts w:cs="Arial"/>
                <w:b/>
                <w:bCs/>
                <w:sz w:val="16"/>
                <w:szCs w:val="16"/>
              </w:rPr>
              <w:t xml:space="preserve"> </w:t>
            </w:r>
          </w:p>
          <w:p w:rsidR="007F1731" w:rsidRPr="006F7135" w:rsidRDefault="007F1731" w:rsidP="00E82B9B">
            <w:pPr>
              <w:jc w:val="center"/>
              <w:rPr>
                <w:rFonts w:cs="Arial"/>
                <w:b/>
                <w:bCs/>
                <w:sz w:val="16"/>
                <w:szCs w:val="16"/>
              </w:rPr>
            </w:pPr>
            <w:r w:rsidRPr="006F7135">
              <w:rPr>
                <w:rFonts w:cs="Arial"/>
                <w:b/>
                <w:bCs/>
                <w:sz w:val="16"/>
                <w:szCs w:val="16"/>
              </w:rPr>
              <w:t>(Gesamtheit aller Wohnungen des Gebäudes, in dem die Wohnung liegt)</w:t>
            </w:r>
          </w:p>
        </w:tc>
      </w:tr>
      <w:tr w:rsidR="007F1731" w:rsidRPr="006F7135" w:rsidTr="00E82B9B">
        <w:trPr>
          <w:trHeight w:val="300"/>
        </w:trPr>
        <w:tc>
          <w:tcPr>
            <w:tcW w:w="0" w:type="auto"/>
            <w:vMerge/>
            <w:tcBorders>
              <w:top w:val="nil"/>
              <w:left w:val="single" w:sz="8" w:space="0" w:color="auto"/>
              <w:bottom w:val="single" w:sz="4" w:space="0" w:color="000000"/>
              <w:right w:val="single" w:sz="8" w:space="0" w:color="auto"/>
            </w:tcBorders>
            <w:vAlign w:val="center"/>
            <w:hideMark/>
          </w:tcPr>
          <w:p w:rsidR="007F1731" w:rsidRPr="006F7135" w:rsidRDefault="007F1731" w:rsidP="00E82B9B">
            <w:pPr>
              <w:rPr>
                <w:rFonts w:cs="Arial"/>
                <w:sz w:val="16"/>
                <w:szCs w:val="16"/>
              </w:rPr>
            </w:pPr>
          </w:p>
        </w:tc>
        <w:tc>
          <w:tcPr>
            <w:tcW w:w="1078"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100 - 250</w:t>
            </w:r>
          </w:p>
        </w:tc>
        <w:tc>
          <w:tcPr>
            <w:tcW w:w="1078"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251 - 500</w:t>
            </w:r>
          </w:p>
        </w:tc>
        <w:tc>
          <w:tcPr>
            <w:tcW w:w="1215"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501 - 1000</w:t>
            </w:r>
          </w:p>
        </w:tc>
        <w:tc>
          <w:tcPr>
            <w:tcW w:w="1188" w:type="dxa"/>
            <w:tcBorders>
              <w:top w:val="nil"/>
              <w:left w:val="nil"/>
              <w:bottom w:val="single" w:sz="4" w:space="0" w:color="auto"/>
              <w:right w:val="single" w:sz="8"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über 1000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1 Person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96,00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93,00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89,00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85,00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2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125,00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120,00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116,00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110,00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3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144,00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139,00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134,00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127,00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4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172,00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166,00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160,00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152,00</w:t>
            </w:r>
          </w:p>
        </w:tc>
      </w:tr>
      <w:tr w:rsidR="007F1731" w:rsidRPr="006F7135" w:rsidTr="00E82B9B">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29,00</w:t>
            </w:r>
          </w:p>
        </w:tc>
        <w:tc>
          <w:tcPr>
            <w:tcW w:w="1078"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28,00</w:t>
            </w:r>
          </w:p>
        </w:tc>
        <w:tc>
          <w:tcPr>
            <w:tcW w:w="1215"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27,00</w:t>
            </w:r>
          </w:p>
        </w:tc>
        <w:tc>
          <w:tcPr>
            <w:tcW w:w="1188" w:type="dxa"/>
            <w:tcBorders>
              <w:top w:val="nil"/>
              <w:left w:val="nil"/>
              <w:bottom w:val="single" w:sz="8"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26,00</w:t>
            </w:r>
          </w:p>
        </w:tc>
      </w:tr>
      <w:tr w:rsidR="007F1731" w:rsidRPr="006F7135" w:rsidTr="00E82B9B">
        <w:trPr>
          <w:trHeight w:val="165"/>
        </w:trPr>
        <w:tc>
          <w:tcPr>
            <w:tcW w:w="8561" w:type="dxa"/>
            <w:gridSpan w:val="5"/>
            <w:tcBorders>
              <w:top w:val="single" w:sz="8" w:space="0" w:color="auto"/>
              <w:left w:val="nil"/>
              <w:bottom w:val="single" w:sz="8" w:space="0" w:color="auto"/>
              <w:right w:val="nil"/>
            </w:tcBorders>
            <w:noWrap/>
            <w:vAlign w:val="bottom"/>
            <w:hideMark/>
          </w:tcPr>
          <w:p w:rsidR="007F1731" w:rsidRPr="006F7135" w:rsidRDefault="007F1731" w:rsidP="00E82B9B">
            <w:pPr>
              <w:rPr>
                <w:rFonts w:cs="Arial"/>
                <w:sz w:val="16"/>
                <w:szCs w:val="16"/>
              </w:rPr>
            </w:pPr>
            <w:r w:rsidRPr="006F7135">
              <w:rPr>
                <w:rFonts w:cs="Arial"/>
                <w:sz w:val="16"/>
                <w:szCs w:val="16"/>
              </w:rPr>
              <w:t> </w:t>
            </w:r>
          </w:p>
        </w:tc>
      </w:tr>
      <w:tr w:rsidR="007F1731" w:rsidRPr="006F7135" w:rsidTr="00E82B9B">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hideMark/>
          </w:tcPr>
          <w:p w:rsidR="007F1731" w:rsidRPr="006F7135" w:rsidRDefault="007F1731" w:rsidP="00E82B9B">
            <w:pPr>
              <w:rPr>
                <w:rFonts w:cs="Arial"/>
                <w:b/>
                <w:bCs/>
                <w:sz w:val="16"/>
                <w:szCs w:val="16"/>
              </w:rPr>
            </w:pPr>
            <w:r w:rsidRPr="006F7135">
              <w:rPr>
                <w:rFonts w:cs="Arial"/>
                <w:b/>
                <w:bCs/>
                <w:sz w:val="16"/>
                <w:szCs w:val="16"/>
              </w:rPr>
              <w:t xml:space="preserve"> B. Erdgas</w:t>
            </w:r>
          </w:p>
        </w:tc>
      </w:tr>
      <w:tr w:rsidR="007F1731" w:rsidRPr="006F7135" w:rsidTr="00E82B9B">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hideMark/>
          </w:tcPr>
          <w:p w:rsidR="007F1731" w:rsidRPr="006F7135" w:rsidRDefault="007F1731" w:rsidP="00E82B9B">
            <w:pPr>
              <w:jc w:val="center"/>
              <w:rPr>
                <w:rFonts w:cs="Arial"/>
                <w:sz w:val="16"/>
                <w:szCs w:val="16"/>
              </w:rPr>
            </w:pPr>
            <w:r w:rsidRPr="006F7135">
              <w:rPr>
                <w:rFonts w:cs="Arial"/>
                <w:sz w:val="16"/>
                <w:szCs w:val="16"/>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hideMark/>
          </w:tcPr>
          <w:p w:rsidR="007F1731" w:rsidRPr="006F7135" w:rsidRDefault="007F1731" w:rsidP="00E82B9B">
            <w:pPr>
              <w:jc w:val="center"/>
              <w:rPr>
                <w:rFonts w:cs="Arial"/>
                <w:b/>
                <w:bCs/>
                <w:sz w:val="16"/>
                <w:szCs w:val="16"/>
              </w:rPr>
            </w:pPr>
            <w:r w:rsidRPr="006F7135">
              <w:rPr>
                <w:rFonts w:cs="Arial"/>
                <w:b/>
                <w:bCs/>
                <w:sz w:val="16"/>
                <w:szCs w:val="16"/>
              </w:rPr>
              <w:t>Gebäudefläche in m</w:t>
            </w:r>
            <w:r w:rsidRPr="006F7135">
              <w:rPr>
                <w:rFonts w:cs="Arial"/>
                <w:b/>
                <w:bCs/>
                <w:sz w:val="16"/>
                <w:szCs w:val="16"/>
                <w:vertAlign w:val="superscript"/>
              </w:rPr>
              <w:t>2</w:t>
            </w:r>
            <w:r w:rsidRPr="006F7135">
              <w:rPr>
                <w:rFonts w:cs="Arial"/>
                <w:b/>
                <w:bCs/>
                <w:sz w:val="16"/>
                <w:szCs w:val="16"/>
              </w:rPr>
              <w:t xml:space="preserve"> </w:t>
            </w:r>
          </w:p>
          <w:p w:rsidR="007F1731" w:rsidRPr="006F7135" w:rsidRDefault="007F1731" w:rsidP="00E82B9B">
            <w:pPr>
              <w:jc w:val="center"/>
              <w:rPr>
                <w:rFonts w:cs="Arial"/>
                <w:b/>
                <w:bCs/>
                <w:sz w:val="16"/>
                <w:szCs w:val="16"/>
              </w:rPr>
            </w:pPr>
            <w:r w:rsidRPr="006F7135">
              <w:rPr>
                <w:rFonts w:cs="Arial"/>
                <w:b/>
                <w:bCs/>
                <w:sz w:val="16"/>
                <w:szCs w:val="16"/>
              </w:rPr>
              <w:t>(Gesamtheit aller Wohnungen des Gebäudes, in dem die Wohnung liegt)</w:t>
            </w:r>
          </w:p>
        </w:tc>
      </w:tr>
      <w:tr w:rsidR="007F1731" w:rsidRPr="006F7135" w:rsidTr="00E82B9B">
        <w:trPr>
          <w:trHeight w:val="300"/>
        </w:trPr>
        <w:tc>
          <w:tcPr>
            <w:tcW w:w="0" w:type="auto"/>
            <w:vMerge/>
            <w:tcBorders>
              <w:top w:val="nil"/>
              <w:left w:val="single" w:sz="8" w:space="0" w:color="auto"/>
              <w:bottom w:val="single" w:sz="4" w:space="0" w:color="000000"/>
              <w:right w:val="single" w:sz="8" w:space="0" w:color="auto"/>
            </w:tcBorders>
            <w:vAlign w:val="center"/>
            <w:hideMark/>
          </w:tcPr>
          <w:p w:rsidR="007F1731" w:rsidRPr="006F7135" w:rsidRDefault="007F1731" w:rsidP="00E82B9B">
            <w:pPr>
              <w:rPr>
                <w:rFonts w:cs="Arial"/>
                <w:sz w:val="16"/>
                <w:szCs w:val="16"/>
              </w:rPr>
            </w:pPr>
          </w:p>
        </w:tc>
        <w:tc>
          <w:tcPr>
            <w:tcW w:w="1078"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100 - 250</w:t>
            </w:r>
          </w:p>
        </w:tc>
        <w:tc>
          <w:tcPr>
            <w:tcW w:w="1078"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251 - 500</w:t>
            </w:r>
          </w:p>
        </w:tc>
        <w:tc>
          <w:tcPr>
            <w:tcW w:w="1215"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501 - 1000</w:t>
            </w:r>
          </w:p>
        </w:tc>
        <w:tc>
          <w:tcPr>
            <w:tcW w:w="1188" w:type="dxa"/>
            <w:tcBorders>
              <w:top w:val="nil"/>
              <w:left w:val="nil"/>
              <w:bottom w:val="single" w:sz="4" w:space="0" w:color="auto"/>
              <w:right w:val="single" w:sz="8"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über 1000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1 Person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85,00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81,00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78,00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73,00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2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110,00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105,00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101,00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95,00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3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127,00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121,00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116,00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110,00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4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153,00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145,00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139,00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132,00</w:t>
            </w:r>
          </w:p>
        </w:tc>
      </w:tr>
      <w:tr w:rsidR="007F1731" w:rsidRPr="006F7135" w:rsidTr="00E82B9B">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26,00</w:t>
            </w:r>
          </w:p>
        </w:tc>
        <w:tc>
          <w:tcPr>
            <w:tcW w:w="1078"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25,00</w:t>
            </w:r>
          </w:p>
        </w:tc>
        <w:tc>
          <w:tcPr>
            <w:tcW w:w="1215"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24,00</w:t>
            </w:r>
          </w:p>
        </w:tc>
        <w:tc>
          <w:tcPr>
            <w:tcW w:w="1188" w:type="dxa"/>
            <w:tcBorders>
              <w:top w:val="nil"/>
              <w:left w:val="nil"/>
              <w:bottom w:val="single" w:sz="8"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22,00</w:t>
            </w:r>
          </w:p>
        </w:tc>
      </w:tr>
      <w:tr w:rsidR="007F1731" w:rsidRPr="006F7135" w:rsidTr="00E82B9B">
        <w:trPr>
          <w:trHeight w:val="150"/>
        </w:trPr>
        <w:tc>
          <w:tcPr>
            <w:tcW w:w="8561" w:type="dxa"/>
            <w:gridSpan w:val="5"/>
            <w:tcBorders>
              <w:top w:val="single" w:sz="8" w:space="0" w:color="auto"/>
              <w:left w:val="nil"/>
              <w:bottom w:val="single" w:sz="8" w:space="0" w:color="auto"/>
              <w:right w:val="nil"/>
            </w:tcBorders>
            <w:noWrap/>
            <w:vAlign w:val="bottom"/>
            <w:hideMark/>
          </w:tcPr>
          <w:p w:rsidR="007F1731" w:rsidRPr="006F7135" w:rsidRDefault="007F1731" w:rsidP="00E82B9B">
            <w:pPr>
              <w:rPr>
                <w:rFonts w:cs="Arial"/>
                <w:sz w:val="16"/>
                <w:szCs w:val="16"/>
              </w:rPr>
            </w:pPr>
            <w:r w:rsidRPr="006F7135">
              <w:rPr>
                <w:rFonts w:cs="Arial"/>
                <w:sz w:val="16"/>
                <w:szCs w:val="16"/>
              </w:rPr>
              <w:t> </w:t>
            </w:r>
          </w:p>
        </w:tc>
      </w:tr>
      <w:tr w:rsidR="007F1731" w:rsidRPr="006F7135" w:rsidTr="00E82B9B">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hideMark/>
          </w:tcPr>
          <w:p w:rsidR="007F1731" w:rsidRPr="006F7135" w:rsidRDefault="007F1731" w:rsidP="00E82B9B">
            <w:pPr>
              <w:rPr>
                <w:rFonts w:cs="Arial"/>
                <w:b/>
                <w:bCs/>
                <w:sz w:val="16"/>
                <w:szCs w:val="16"/>
              </w:rPr>
            </w:pPr>
            <w:r w:rsidRPr="006F7135">
              <w:rPr>
                <w:rFonts w:cs="Arial"/>
                <w:b/>
                <w:bCs/>
                <w:sz w:val="16"/>
                <w:szCs w:val="16"/>
              </w:rPr>
              <w:t xml:space="preserve"> C. Fernwärme</w:t>
            </w:r>
          </w:p>
        </w:tc>
      </w:tr>
      <w:tr w:rsidR="007F1731" w:rsidRPr="006F7135" w:rsidTr="00E82B9B">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hideMark/>
          </w:tcPr>
          <w:p w:rsidR="007F1731" w:rsidRPr="006F7135" w:rsidRDefault="007F1731" w:rsidP="00E82B9B">
            <w:pPr>
              <w:jc w:val="center"/>
              <w:rPr>
                <w:rFonts w:cs="Arial"/>
                <w:sz w:val="16"/>
                <w:szCs w:val="16"/>
              </w:rPr>
            </w:pPr>
            <w:r w:rsidRPr="006F7135">
              <w:rPr>
                <w:rFonts w:cs="Arial"/>
                <w:sz w:val="16"/>
                <w:szCs w:val="16"/>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hideMark/>
          </w:tcPr>
          <w:p w:rsidR="007F1731" w:rsidRPr="006F7135" w:rsidRDefault="007F1731" w:rsidP="00E82B9B">
            <w:pPr>
              <w:jc w:val="center"/>
              <w:rPr>
                <w:rFonts w:cs="Arial"/>
                <w:b/>
                <w:bCs/>
                <w:sz w:val="16"/>
                <w:szCs w:val="16"/>
              </w:rPr>
            </w:pPr>
            <w:r w:rsidRPr="006F7135">
              <w:rPr>
                <w:rFonts w:cs="Arial"/>
                <w:b/>
                <w:bCs/>
                <w:sz w:val="16"/>
                <w:szCs w:val="16"/>
              </w:rPr>
              <w:t>Gebäudefläche in m</w:t>
            </w:r>
            <w:r w:rsidRPr="006F7135">
              <w:rPr>
                <w:rFonts w:cs="Arial"/>
                <w:b/>
                <w:bCs/>
                <w:sz w:val="16"/>
                <w:szCs w:val="16"/>
                <w:vertAlign w:val="superscript"/>
              </w:rPr>
              <w:t>2</w:t>
            </w:r>
            <w:r w:rsidRPr="006F7135">
              <w:rPr>
                <w:rFonts w:cs="Arial"/>
                <w:b/>
                <w:bCs/>
                <w:sz w:val="16"/>
                <w:szCs w:val="16"/>
              </w:rPr>
              <w:t xml:space="preserve"> </w:t>
            </w:r>
          </w:p>
          <w:p w:rsidR="007F1731" w:rsidRPr="006F7135" w:rsidRDefault="007F1731" w:rsidP="00E82B9B">
            <w:pPr>
              <w:jc w:val="center"/>
              <w:rPr>
                <w:rFonts w:cs="Arial"/>
                <w:b/>
                <w:bCs/>
                <w:sz w:val="16"/>
                <w:szCs w:val="16"/>
              </w:rPr>
            </w:pPr>
            <w:r w:rsidRPr="006F7135">
              <w:rPr>
                <w:rFonts w:cs="Arial"/>
                <w:b/>
                <w:bCs/>
                <w:sz w:val="16"/>
                <w:szCs w:val="16"/>
              </w:rPr>
              <w:t>(Gesamtheit aller Wohnungen des Gebäudes, in dem die Wohnung liegt)</w:t>
            </w:r>
          </w:p>
        </w:tc>
      </w:tr>
      <w:tr w:rsidR="007F1731" w:rsidRPr="006F7135" w:rsidTr="00E82B9B">
        <w:trPr>
          <w:trHeight w:val="300"/>
        </w:trPr>
        <w:tc>
          <w:tcPr>
            <w:tcW w:w="0" w:type="auto"/>
            <w:vMerge/>
            <w:tcBorders>
              <w:top w:val="nil"/>
              <w:left w:val="single" w:sz="8" w:space="0" w:color="auto"/>
              <w:bottom w:val="single" w:sz="4" w:space="0" w:color="000000"/>
              <w:right w:val="single" w:sz="8" w:space="0" w:color="auto"/>
            </w:tcBorders>
            <w:vAlign w:val="center"/>
            <w:hideMark/>
          </w:tcPr>
          <w:p w:rsidR="007F1731" w:rsidRPr="006F7135" w:rsidRDefault="007F1731" w:rsidP="00E82B9B">
            <w:pPr>
              <w:rPr>
                <w:rFonts w:cs="Arial"/>
                <w:sz w:val="16"/>
                <w:szCs w:val="16"/>
              </w:rPr>
            </w:pPr>
          </w:p>
        </w:tc>
        <w:tc>
          <w:tcPr>
            <w:tcW w:w="1078"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100 - 250</w:t>
            </w:r>
          </w:p>
        </w:tc>
        <w:tc>
          <w:tcPr>
            <w:tcW w:w="1078"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251 - 500</w:t>
            </w:r>
          </w:p>
        </w:tc>
        <w:tc>
          <w:tcPr>
            <w:tcW w:w="1215" w:type="dxa"/>
            <w:tcBorders>
              <w:top w:val="nil"/>
              <w:left w:val="nil"/>
              <w:bottom w:val="single" w:sz="4" w:space="0" w:color="auto"/>
              <w:right w:val="single" w:sz="4"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501 - 1000</w:t>
            </w:r>
          </w:p>
        </w:tc>
        <w:tc>
          <w:tcPr>
            <w:tcW w:w="1188" w:type="dxa"/>
            <w:tcBorders>
              <w:top w:val="nil"/>
              <w:left w:val="nil"/>
              <w:bottom w:val="single" w:sz="4" w:space="0" w:color="auto"/>
              <w:right w:val="single" w:sz="8" w:space="0" w:color="auto"/>
            </w:tcBorders>
            <w:shd w:val="clear" w:color="auto" w:fill="FFCC00"/>
            <w:noWrap/>
            <w:vAlign w:val="bottom"/>
            <w:hideMark/>
          </w:tcPr>
          <w:p w:rsidR="007F1731" w:rsidRPr="006F7135" w:rsidRDefault="007F1731" w:rsidP="00E82B9B">
            <w:pPr>
              <w:jc w:val="center"/>
              <w:rPr>
                <w:rFonts w:cs="Arial"/>
                <w:b/>
                <w:bCs/>
                <w:sz w:val="16"/>
                <w:szCs w:val="16"/>
              </w:rPr>
            </w:pPr>
            <w:r w:rsidRPr="006F7135">
              <w:rPr>
                <w:rFonts w:cs="Arial"/>
                <w:b/>
                <w:bCs/>
                <w:sz w:val="16"/>
                <w:szCs w:val="16"/>
              </w:rPr>
              <w:t>über 1000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1 Person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98,00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94,00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91,00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85,00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2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128,00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122,00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119,00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111,00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3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147,00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141,00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137,00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128,00</w:t>
            </w:r>
          </w:p>
        </w:tc>
      </w:tr>
      <w:tr w:rsidR="007F1731" w:rsidRPr="006F7135" w:rsidTr="00E82B9B">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4 Personen</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177,00</w:t>
            </w:r>
          </w:p>
        </w:tc>
        <w:tc>
          <w:tcPr>
            <w:tcW w:w="1078"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169,00</w:t>
            </w:r>
          </w:p>
        </w:tc>
        <w:tc>
          <w:tcPr>
            <w:tcW w:w="1215" w:type="dxa"/>
            <w:tcBorders>
              <w:top w:val="nil"/>
              <w:left w:val="nil"/>
              <w:bottom w:val="single" w:sz="4"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164,00</w:t>
            </w:r>
          </w:p>
        </w:tc>
        <w:tc>
          <w:tcPr>
            <w:tcW w:w="1188" w:type="dxa"/>
            <w:tcBorders>
              <w:top w:val="nil"/>
              <w:left w:val="nil"/>
              <w:bottom w:val="single" w:sz="4"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153,00</w:t>
            </w:r>
          </w:p>
        </w:tc>
      </w:tr>
      <w:tr w:rsidR="007F1731" w:rsidRPr="006F7135" w:rsidTr="00E82B9B">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hideMark/>
          </w:tcPr>
          <w:p w:rsidR="007F1731" w:rsidRPr="006F7135" w:rsidRDefault="007F1731" w:rsidP="00E82B9B">
            <w:pPr>
              <w:rPr>
                <w:rFonts w:cs="Arial"/>
                <w:b/>
                <w:bCs/>
                <w:sz w:val="16"/>
                <w:szCs w:val="16"/>
              </w:rPr>
            </w:pPr>
            <w:r w:rsidRPr="006F7135">
              <w:rPr>
                <w:rFonts w:cs="Arial"/>
                <w:b/>
                <w:bCs/>
                <w:sz w:val="16"/>
                <w:szCs w:val="16"/>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30,00</w:t>
            </w:r>
          </w:p>
        </w:tc>
        <w:tc>
          <w:tcPr>
            <w:tcW w:w="1078"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29,00</w:t>
            </w:r>
          </w:p>
        </w:tc>
        <w:tc>
          <w:tcPr>
            <w:tcW w:w="1215" w:type="dxa"/>
            <w:tcBorders>
              <w:top w:val="nil"/>
              <w:left w:val="nil"/>
              <w:bottom w:val="single" w:sz="8" w:space="0" w:color="auto"/>
              <w:right w:val="single" w:sz="4"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28,00</w:t>
            </w:r>
          </w:p>
        </w:tc>
        <w:tc>
          <w:tcPr>
            <w:tcW w:w="1188" w:type="dxa"/>
            <w:tcBorders>
              <w:top w:val="nil"/>
              <w:left w:val="nil"/>
              <w:bottom w:val="single" w:sz="8" w:space="0" w:color="auto"/>
              <w:right w:val="single" w:sz="8" w:space="0" w:color="auto"/>
            </w:tcBorders>
            <w:shd w:val="clear" w:color="auto" w:fill="FFFF99"/>
            <w:noWrap/>
            <w:vAlign w:val="bottom"/>
            <w:hideMark/>
          </w:tcPr>
          <w:p w:rsidR="007F1731" w:rsidRPr="006F7135" w:rsidRDefault="007F1731" w:rsidP="00E82B9B">
            <w:pPr>
              <w:jc w:val="right"/>
              <w:rPr>
                <w:rFonts w:cs="Arial"/>
                <w:sz w:val="16"/>
                <w:szCs w:val="16"/>
              </w:rPr>
            </w:pPr>
            <w:r w:rsidRPr="006F7135">
              <w:rPr>
                <w:rFonts w:cs="Arial"/>
                <w:sz w:val="16"/>
                <w:szCs w:val="16"/>
              </w:rPr>
              <w:t>26,00</w:t>
            </w:r>
          </w:p>
        </w:tc>
      </w:tr>
    </w:tbl>
    <w:p w:rsidR="007F1731" w:rsidRPr="006F7135" w:rsidRDefault="007F1731" w:rsidP="007F1731">
      <w:pPr>
        <w:rPr>
          <w:rFont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F1731" w:rsidRPr="006F7135" w:rsidTr="00E82B9B">
        <w:tc>
          <w:tcPr>
            <w:tcW w:w="8640" w:type="dxa"/>
            <w:tcBorders>
              <w:top w:val="single" w:sz="4" w:space="0" w:color="auto"/>
              <w:left w:val="single" w:sz="4" w:space="0" w:color="auto"/>
              <w:bottom w:val="single" w:sz="4" w:space="0" w:color="auto"/>
              <w:right w:val="single" w:sz="4" w:space="0" w:color="auto"/>
            </w:tcBorders>
          </w:tcPr>
          <w:p w:rsidR="007F1731" w:rsidRPr="006F7135" w:rsidRDefault="007F1731" w:rsidP="00E82B9B">
            <w:pPr>
              <w:rPr>
                <w:rFonts w:cs="Arial"/>
                <w:sz w:val="16"/>
                <w:szCs w:val="16"/>
              </w:rPr>
            </w:pPr>
            <w:r w:rsidRPr="006F7135">
              <w:rPr>
                <w:rFonts w:cs="Arial"/>
                <w:sz w:val="16"/>
                <w:szCs w:val="16"/>
              </w:rPr>
              <w:t xml:space="preserve">Die </w:t>
            </w:r>
            <w:r w:rsidRPr="006F7135">
              <w:rPr>
                <w:rFonts w:cs="Arial"/>
                <w:b/>
                <w:sz w:val="16"/>
                <w:szCs w:val="16"/>
              </w:rPr>
              <w:t xml:space="preserve"> bei Holzheizung (Holzzentral-bzw. Holzeinzelofenheizung) anfallenden  Heizkosten</w:t>
            </w:r>
            <w:r w:rsidRPr="006F7135">
              <w:rPr>
                <w:rFonts w:cs="Arial"/>
                <w:sz w:val="16"/>
                <w:szCs w:val="16"/>
              </w:rPr>
              <w:t xml:space="preserve"> werden nach Bedarf anerkannt / bewilligt. Richtwert für die Angemessenheit ist hierfür der entsprechende Wert aus der Tabelle A. Heizöl.</w:t>
            </w:r>
          </w:p>
        </w:tc>
      </w:tr>
      <w:tr w:rsidR="007F1731" w:rsidRPr="006F7135" w:rsidTr="00E82B9B">
        <w:tc>
          <w:tcPr>
            <w:tcW w:w="8640" w:type="dxa"/>
            <w:tcBorders>
              <w:top w:val="single" w:sz="4" w:space="0" w:color="auto"/>
              <w:left w:val="single" w:sz="4" w:space="0" w:color="auto"/>
              <w:bottom w:val="single" w:sz="4" w:space="0" w:color="auto"/>
              <w:right w:val="single" w:sz="4" w:space="0" w:color="auto"/>
            </w:tcBorders>
          </w:tcPr>
          <w:p w:rsidR="007F1731" w:rsidRPr="006F7135" w:rsidRDefault="007F1731" w:rsidP="00E82B9B">
            <w:pPr>
              <w:jc w:val="both"/>
              <w:rPr>
                <w:rFonts w:cs="Arial"/>
                <w:b/>
                <w:sz w:val="16"/>
                <w:szCs w:val="16"/>
              </w:rPr>
            </w:pPr>
            <w:r w:rsidRPr="006F7135">
              <w:rPr>
                <w:rFonts w:cs="Arial"/>
                <w:b/>
                <w:sz w:val="16"/>
                <w:szCs w:val="16"/>
              </w:rPr>
              <w:t>Stromheizung</w:t>
            </w:r>
          </w:p>
          <w:p w:rsidR="007F1731" w:rsidRPr="006F7135" w:rsidRDefault="007F1731" w:rsidP="00E82B9B">
            <w:pPr>
              <w:jc w:val="both"/>
              <w:rPr>
                <w:rFonts w:cs="Arial"/>
                <w:b/>
                <w:sz w:val="16"/>
                <w:szCs w:val="16"/>
              </w:rPr>
            </w:pPr>
            <w:r w:rsidRPr="006F7135">
              <w:rPr>
                <w:rFonts w:cs="Arial"/>
                <w:sz w:val="16"/>
                <w:szCs w:val="16"/>
              </w:rPr>
              <w:t>Weil dem Bundesweiten Heizspiegel keine Vergleichswerte für eine elektrische Heizung zu entnehmen sind, wird in analoger Anwendung des Urteiles des BSG vom 12.06.2013, B 14 AS 60/12 R- ab 01.01.2015 auf den ungünstigsten (100-250 m²) Heizkostenverbrauch einer Fernwärmeheizung als Richtwert zurückgegriffen</w:t>
            </w:r>
          </w:p>
        </w:tc>
      </w:tr>
    </w:tbl>
    <w:p w:rsidR="00B571A0" w:rsidRPr="006F7135" w:rsidRDefault="00B571A0" w:rsidP="00BA3643">
      <w:pPr>
        <w:rPr>
          <w:rFonts w:cs="Arial"/>
          <w:sz w:val="16"/>
          <w:szCs w:val="16"/>
        </w:rPr>
      </w:pPr>
    </w:p>
    <w:p w:rsidR="00C619E7" w:rsidRPr="006F7135" w:rsidRDefault="00C619E7" w:rsidP="00C619E7">
      <w:pPr>
        <w:jc w:val="both"/>
        <w:rPr>
          <w:rFonts w:cs="Arial"/>
          <w:sz w:val="16"/>
          <w:szCs w:val="16"/>
        </w:rPr>
      </w:pPr>
      <w:r w:rsidRPr="006F7135">
        <w:rPr>
          <w:rFonts w:cs="Arial"/>
          <w:sz w:val="16"/>
          <w:szCs w:val="16"/>
        </w:rPr>
        <w:t>Anteile Haushaltsenergie ab 2015 in EUR:</w:t>
      </w:r>
    </w:p>
    <w:p w:rsidR="00C619E7" w:rsidRPr="006F7135" w:rsidRDefault="00C619E7" w:rsidP="00C619E7">
      <w:pPr>
        <w:jc w:val="both"/>
        <w:rPr>
          <w:rFonts w:cs="Arial"/>
          <w:sz w:val="16"/>
          <w:szCs w:val="16"/>
        </w:rPr>
      </w:pPr>
      <w:r w:rsidRPr="006F7135">
        <w:rPr>
          <w:rFonts w:cs="Arial"/>
          <w:sz w:val="16"/>
          <w:szCs w:val="16"/>
        </w:rPr>
        <w:t>RB 399 = 29,56;  RB 360 = 26,67;  RB 320 = 23,70;  RB 302 = 9,28</w:t>
      </w:r>
    </w:p>
    <w:p w:rsidR="00C619E7" w:rsidRPr="006F7135" w:rsidRDefault="00C619E7" w:rsidP="00C619E7">
      <w:pPr>
        <w:tabs>
          <w:tab w:val="center" w:pos="4536"/>
        </w:tabs>
        <w:jc w:val="both"/>
        <w:rPr>
          <w:rFonts w:cs="Arial"/>
          <w:sz w:val="16"/>
          <w:szCs w:val="16"/>
        </w:rPr>
      </w:pPr>
      <w:r w:rsidRPr="006F7135">
        <w:rPr>
          <w:rFonts w:cs="Arial"/>
          <w:sz w:val="16"/>
          <w:szCs w:val="16"/>
        </w:rPr>
        <w:t xml:space="preserve">RB 267 =   8,94;  RB 234 =   5,88. </w:t>
      </w:r>
      <w:r w:rsidRPr="006F7135">
        <w:rPr>
          <w:rFonts w:cs="Arial"/>
          <w:sz w:val="16"/>
          <w:szCs w:val="16"/>
        </w:rPr>
        <w:tab/>
      </w:r>
    </w:p>
    <w:p w:rsidR="00C619E7" w:rsidRDefault="00C619E7" w:rsidP="00BA3643">
      <w:pPr>
        <w:rPr>
          <w:rFonts w:cs="Arial"/>
        </w:rPr>
      </w:pPr>
    </w:p>
    <w:p w:rsidR="0068017A" w:rsidRDefault="0068017A" w:rsidP="00BA3643">
      <w:pPr>
        <w:rPr>
          <w:rFonts w:cs="Arial"/>
        </w:rPr>
      </w:pPr>
    </w:p>
    <w:p w:rsidR="0068017A" w:rsidRDefault="0068017A" w:rsidP="00BA3643">
      <w:pPr>
        <w:rPr>
          <w:rFonts w:cs="Arial"/>
        </w:rPr>
      </w:pPr>
    </w:p>
    <w:p w:rsidR="0068017A" w:rsidRDefault="0068017A" w:rsidP="00BA3643">
      <w:pPr>
        <w:rPr>
          <w:rFonts w:cs="Arial"/>
        </w:rPr>
      </w:pPr>
    </w:p>
    <w:p w:rsidR="00D016CE" w:rsidRDefault="00D016CE" w:rsidP="00BA3643">
      <w:pPr>
        <w:rPr>
          <w:rFonts w:cs="Arial"/>
        </w:rPr>
      </w:pPr>
    </w:p>
    <w:p w:rsidR="00D016CE" w:rsidRDefault="00D016CE" w:rsidP="00BA3643">
      <w:pPr>
        <w:rPr>
          <w:rFonts w:cs="Arial"/>
        </w:rPr>
      </w:pPr>
    </w:p>
    <w:p w:rsidR="00C810D5" w:rsidRDefault="00C810D5" w:rsidP="00BA3643">
      <w:pPr>
        <w:rPr>
          <w:rFonts w:cs="Arial"/>
        </w:rPr>
      </w:pPr>
    </w:p>
    <w:tbl>
      <w:tblPr>
        <w:tblW w:w="8561" w:type="dxa"/>
        <w:tblInd w:w="55" w:type="dxa"/>
        <w:tblCellMar>
          <w:left w:w="70" w:type="dxa"/>
          <w:right w:w="70" w:type="dxa"/>
        </w:tblCellMar>
        <w:tblLook w:val="0000" w:firstRow="0" w:lastRow="0" w:firstColumn="0" w:lastColumn="0" w:noHBand="0" w:noVBand="0"/>
      </w:tblPr>
      <w:tblGrid>
        <w:gridCol w:w="4002"/>
        <w:gridCol w:w="1078"/>
        <w:gridCol w:w="1078"/>
        <w:gridCol w:w="1215"/>
        <w:gridCol w:w="1188"/>
      </w:tblGrid>
      <w:tr w:rsidR="00AD4601" w:rsidRPr="006F7135" w:rsidTr="00DD6EA0">
        <w:trPr>
          <w:trHeight w:val="405"/>
        </w:trPr>
        <w:tc>
          <w:tcPr>
            <w:tcW w:w="8561" w:type="dxa"/>
            <w:gridSpan w:val="5"/>
            <w:tcBorders>
              <w:top w:val="single" w:sz="8" w:space="0" w:color="auto"/>
              <w:left w:val="single" w:sz="8" w:space="0" w:color="auto"/>
              <w:bottom w:val="single" w:sz="8" w:space="0" w:color="auto"/>
              <w:right w:val="single" w:sz="8" w:space="0" w:color="000000"/>
            </w:tcBorders>
            <w:shd w:val="clear" w:color="auto" w:fill="FFFF99"/>
            <w:noWrap/>
            <w:vAlign w:val="center"/>
          </w:tcPr>
          <w:p w:rsidR="00AD4601" w:rsidRPr="006F7135" w:rsidRDefault="00AD4601" w:rsidP="00DD6EA0">
            <w:pPr>
              <w:jc w:val="center"/>
              <w:rPr>
                <w:rFonts w:cs="Arial"/>
                <w:b/>
                <w:bCs/>
                <w:sz w:val="16"/>
                <w:szCs w:val="16"/>
              </w:rPr>
            </w:pPr>
            <w:r w:rsidRPr="006F7135">
              <w:rPr>
                <w:rFonts w:cs="Arial"/>
                <w:b/>
                <w:bCs/>
                <w:sz w:val="16"/>
                <w:szCs w:val="16"/>
              </w:rPr>
              <w:lastRenderedPageBreak/>
              <w:t xml:space="preserve">Angemessene mtl. Grenzwerte für Heizkosten im Landkreis Passau </w:t>
            </w:r>
          </w:p>
          <w:p w:rsidR="00AD4601" w:rsidRPr="006F7135" w:rsidRDefault="00AD4601" w:rsidP="00DD6EA0">
            <w:pPr>
              <w:jc w:val="center"/>
              <w:rPr>
                <w:rFonts w:cs="Arial"/>
                <w:b/>
                <w:bCs/>
                <w:sz w:val="16"/>
                <w:szCs w:val="16"/>
              </w:rPr>
            </w:pPr>
            <w:r w:rsidRPr="006F7135">
              <w:rPr>
                <w:rFonts w:cs="Arial"/>
                <w:b/>
                <w:bCs/>
                <w:sz w:val="16"/>
                <w:szCs w:val="16"/>
              </w:rPr>
              <w:t>Ermittlung / Anpassung ab Januar 2014</w:t>
            </w:r>
          </w:p>
        </w:tc>
      </w:tr>
      <w:tr w:rsidR="00AD4601" w:rsidRPr="006F7135" w:rsidTr="00DD6EA0">
        <w:trPr>
          <w:trHeight w:val="150"/>
        </w:trPr>
        <w:tc>
          <w:tcPr>
            <w:tcW w:w="8561" w:type="dxa"/>
            <w:gridSpan w:val="5"/>
            <w:tcBorders>
              <w:top w:val="single" w:sz="8" w:space="0" w:color="auto"/>
              <w:left w:val="nil"/>
              <w:bottom w:val="single" w:sz="8" w:space="0" w:color="auto"/>
              <w:right w:val="nil"/>
            </w:tcBorders>
            <w:shd w:val="clear" w:color="auto" w:fill="auto"/>
            <w:noWrap/>
            <w:vAlign w:val="bottom"/>
          </w:tcPr>
          <w:p w:rsidR="00AD4601" w:rsidRPr="006F7135" w:rsidRDefault="00AD4601" w:rsidP="00DD6EA0">
            <w:pPr>
              <w:rPr>
                <w:rFonts w:cs="Arial"/>
                <w:sz w:val="16"/>
                <w:szCs w:val="16"/>
              </w:rPr>
            </w:pPr>
            <w:r w:rsidRPr="006F7135">
              <w:rPr>
                <w:rFonts w:cs="Arial"/>
                <w:sz w:val="16"/>
                <w:szCs w:val="16"/>
              </w:rPr>
              <w:t> </w:t>
            </w:r>
          </w:p>
        </w:tc>
      </w:tr>
      <w:tr w:rsidR="00AD4601" w:rsidRPr="006F7135" w:rsidTr="00DD6EA0">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tcPr>
          <w:p w:rsidR="00AD4601" w:rsidRPr="006F7135" w:rsidRDefault="00AD4601" w:rsidP="00DD6EA0">
            <w:pPr>
              <w:rPr>
                <w:rFonts w:cs="Arial"/>
                <w:b/>
                <w:bCs/>
                <w:sz w:val="16"/>
                <w:szCs w:val="16"/>
              </w:rPr>
            </w:pPr>
            <w:r w:rsidRPr="006F7135">
              <w:rPr>
                <w:rFonts w:cs="Arial"/>
                <w:b/>
                <w:bCs/>
                <w:sz w:val="16"/>
                <w:szCs w:val="16"/>
              </w:rPr>
              <w:t xml:space="preserve"> A. Heizöl</w:t>
            </w:r>
          </w:p>
        </w:tc>
      </w:tr>
      <w:tr w:rsidR="00AD4601" w:rsidRPr="006F7135" w:rsidTr="00DD6EA0">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tcPr>
          <w:p w:rsidR="00AD4601" w:rsidRPr="006F7135" w:rsidRDefault="00AD4601" w:rsidP="00DD6EA0">
            <w:pPr>
              <w:jc w:val="center"/>
              <w:rPr>
                <w:rFonts w:cs="Arial"/>
                <w:sz w:val="16"/>
                <w:szCs w:val="16"/>
              </w:rPr>
            </w:pPr>
            <w:r w:rsidRPr="006F7135">
              <w:rPr>
                <w:rFonts w:cs="Arial"/>
                <w:sz w:val="16"/>
                <w:szCs w:val="16"/>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tcPr>
          <w:p w:rsidR="00AD4601" w:rsidRPr="006F7135" w:rsidRDefault="00AD4601" w:rsidP="00DD6EA0">
            <w:pPr>
              <w:jc w:val="center"/>
              <w:rPr>
                <w:rFonts w:cs="Arial"/>
                <w:b/>
                <w:bCs/>
                <w:sz w:val="16"/>
                <w:szCs w:val="16"/>
              </w:rPr>
            </w:pPr>
            <w:r w:rsidRPr="006F7135">
              <w:rPr>
                <w:rFonts w:cs="Arial"/>
                <w:b/>
                <w:bCs/>
                <w:sz w:val="16"/>
                <w:szCs w:val="16"/>
              </w:rPr>
              <w:t>Gebäudefläche in m</w:t>
            </w:r>
            <w:r w:rsidRPr="006F7135">
              <w:rPr>
                <w:rFonts w:cs="Arial"/>
                <w:b/>
                <w:bCs/>
                <w:sz w:val="16"/>
                <w:szCs w:val="16"/>
                <w:vertAlign w:val="superscript"/>
              </w:rPr>
              <w:t>2</w:t>
            </w:r>
            <w:r w:rsidRPr="006F7135">
              <w:rPr>
                <w:rFonts w:cs="Arial"/>
                <w:b/>
                <w:bCs/>
                <w:sz w:val="16"/>
                <w:szCs w:val="16"/>
              </w:rPr>
              <w:t xml:space="preserve"> </w:t>
            </w:r>
          </w:p>
          <w:p w:rsidR="00AD4601" w:rsidRPr="006F7135" w:rsidRDefault="00AD4601" w:rsidP="00DD6EA0">
            <w:pPr>
              <w:jc w:val="center"/>
              <w:rPr>
                <w:rFonts w:cs="Arial"/>
                <w:b/>
                <w:bCs/>
                <w:sz w:val="16"/>
                <w:szCs w:val="16"/>
              </w:rPr>
            </w:pPr>
            <w:r w:rsidRPr="006F7135">
              <w:rPr>
                <w:rFonts w:cs="Arial"/>
                <w:b/>
                <w:bCs/>
                <w:sz w:val="16"/>
                <w:szCs w:val="16"/>
              </w:rPr>
              <w:t>(Gesamtheit aller Wohnungen des Gebäudes, in dem die Wohnung liegt)</w:t>
            </w:r>
          </w:p>
        </w:tc>
      </w:tr>
      <w:tr w:rsidR="00AD4601" w:rsidRPr="006F7135" w:rsidTr="00DD6EA0">
        <w:trPr>
          <w:trHeight w:val="300"/>
        </w:trPr>
        <w:tc>
          <w:tcPr>
            <w:tcW w:w="4002" w:type="dxa"/>
            <w:vMerge/>
            <w:tcBorders>
              <w:top w:val="nil"/>
              <w:left w:val="single" w:sz="8" w:space="0" w:color="auto"/>
              <w:bottom w:val="single" w:sz="4" w:space="0" w:color="000000"/>
              <w:right w:val="single" w:sz="8" w:space="0" w:color="auto"/>
            </w:tcBorders>
            <w:vAlign w:val="center"/>
          </w:tcPr>
          <w:p w:rsidR="00AD4601" w:rsidRPr="006F7135" w:rsidRDefault="00AD4601" w:rsidP="00DD6EA0">
            <w:pPr>
              <w:rPr>
                <w:rFonts w:cs="Arial"/>
                <w:sz w:val="16"/>
                <w:szCs w:val="16"/>
              </w:rPr>
            </w:pPr>
          </w:p>
        </w:tc>
        <w:tc>
          <w:tcPr>
            <w:tcW w:w="1078"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100 - 250</w:t>
            </w:r>
          </w:p>
        </w:tc>
        <w:tc>
          <w:tcPr>
            <w:tcW w:w="1078"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251 - 500</w:t>
            </w:r>
          </w:p>
        </w:tc>
        <w:tc>
          <w:tcPr>
            <w:tcW w:w="1215"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501 - 1000</w:t>
            </w:r>
          </w:p>
        </w:tc>
        <w:tc>
          <w:tcPr>
            <w:tcW w:w="1188" w:type="dxa"/>
            <w:tcBorders>
              <w:top w:val="nil"/>
              <w:left w:val="nil"/>
              <w:bottom w:val="single" w:sz="4" w:space="0" w:color="auto"/>
              <w:right w:val="single" w:sz="8"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über 1000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1 Person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92,00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89,00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85,00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83,00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2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119,00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115,00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111,00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108,00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3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137,00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133,00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128,00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125,00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4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165,00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159,00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153,00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150,00</w:t>
            </w:r>
          </w:p>
        </w:tc>
      </w:tr>
      <w:tr w:rsidR="00AD4601" w:rsidRPr="006F7135" w:rsidTr="00DD6EA0">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28,00</w:t>
            </w:r>
          </w:p>
        </w:tc>
        <w:tc>
          <w:tcPr>
            <w:tcW w:w="1078"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27,00</w:t>
            </w:r>
          </w:p>
        </w:tc>
        <w:tc>
          <w:tcPr>
            <w:tcW w:w="1215"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26,00</w:t>
            </w:r>
          </w:p>
        </w:tc>
        <w:tc>
          <w:tcPr>
            <w:tcW w:w="1188" w:type="dxa"/>
            <w:tcBorders>
              <w:top w:val="nil"/>
              <w:left w:val="nil"/>
              <w:bottom w:val="single" w:sz="8"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25,00</w:t>
            </w:r>
          </w:p>
        </w:tc>
      </w:tr>
      <w:tr w:rsidR="00AD4601" w:rsidRPr="006F7135" w:rsidTr="00DD6EA0">
        <w:trPr>
          <w:trHeight w:val="165"/>
        </w:trPr>
        <w:tc>
          <w:tcPr>
            <w:tcW w:w="8561" w:type="dxa"/>
            <w:gridSpan w:val="5"/>
            <w:tcBorders>
              <w:top w:val="single" w:sz="8" w:space="0" w:color="auto"/>
              <w:left w:val="nil"/>
              <w:bottom w:val="single" w:sz="8" w:space="0" w:color="auto"/>
              <w:right w:val="nil"/>
            </w:tcBorders>
            <w:shd w:val="clear" w:color="auto" w:fill="auto"/>
            <w:noWrap/>
            <w:vAlign w:val="bottom"/>
          </w:tcPr>
          <w:p w:rsidR="00AD4601" w:rsidRPr="006F7135" w:rsidRDefault="00AD4601" w:rsidP="00DD6EA0">
            <w:pPr>
              <w:rPr>
                <w:rFonts w:cs="Arial"/>
                <w:sz w:val="16"/>
                <w:szCs w:val="16"/>
              </w:rPr>
            </w:pPr>
            <w:r w:rsidRPr="006F7135">
              <w:rPr>
                <w:rFonts w:cs="Arial"/>
                <w:sz w:val="16"/>
                <w:szCs w:val="16"/>
              </w:rPr>
              <w:t> </w:t>
            </w:r>
          </w:p>
          <w:p w:rsidR="00525669" w:rsidRPr="006F7135" w:rsidRDefault="00525669" w:rsidP="00DD6EA0">
            <w:pPr>
              <w:rPr>
                <w:rFonts w:cs="Arial"/>
                <w:sz w:val="16"/>
                <w:szCs w:val="16"/>
              </w:rPr>
            </w:pPr>
          </w:p>
        </w:tc>
      </w:tr>
      <w:tr w:rsidR="00AD4601" w:rsidRPr="006F7135" w:rsidTr="00DD6EA0">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tcPr>
          <w:p w:rsidR="00AD4601" w:rsidRPr="006F7135" w:rsidRDefault="00AD4601" w:rsidP="00DD6EA0">
            <w:pPr>
              <w:rPr>
                <w:rFonts w:cs="Arial"/>
                <w:b/>
                <w:bCs/>
                <w:sz w:val="16"/>
                <w:szCs w:val="16"/>
              </w:rPr>
            </w:pPr>
            <w:r w:rsidRPr="006F7135">
              <w:rPr>
                <w:rFonts w:cs="Arial"/>
                <w:b/>
                <w:bCs/>
                <w:sz w:val="16"/>
                <w:szCs w:val="16"/>
              </w:rPr>
              <w:t xml:space="preserve"> B. Erdgas</w:t>
            </w:r>
          </w:p>
        </w:tc>
      </w:tr>
      <w:tr w:rsidR="00AD4601" w:rsidRPr="006F7135" w:rsidTr="00DD6EA0">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tcPr>
          <w:p w:rsidR="00AD4601" w:rsidRPr="006F7135" w:rsidRDefault="00AD4601" w:rsidP="00DD6EA0">
            <w:pPr>
              <w:jc w:val="center"/>
              <w:rPr>
                <w:rFonts w:cs="Arial"/>
                <w:sz w:val="16"/>
                <w:szCs w:val="16"/>
              </w:rPr>
            </w:pPr>
            <w:r w:rsidRPr="006F7135">
              <w:rPr>
                <w:rFonts w:cs="Arial"/>
                <w:sz w:val="16"/>
                <w:szCs w:val="16"/>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tcPr>
          <w:p w:rsidR="00AD4601" w:rsidRPr="006F7135" w:rsidRDefault="00AD4601" w:rsidP="00DD6EA0">
            <w:pPr>
              <w:jc w:val="center"/>
              <w:rPr>
                <w:rFonts w:cs="Arial"/>
                <w:b/>
                <w:bCs/>
                <w:sz w:val="16"/>
                <w:szCs w:val="16"/>
              </w:rPr>
            </w:pPr>
            <w:r w:rsidRPr="006F7135">
              <w:rPr>
                <w:rFonts w:cs="Arial"/>
                <w:b/>
                <w:bCs/>
                <w:sz w:val="16"/>
                <w:szCs w:val="16"/>
              </w:rPr>
              <w:t>Gebäudefläche in m</w:t>
            </w:r>
            <w:r w:rsidRPr="006F7135">
              <w:rPr>
                <w:rFonts w:cs="Arial"/>
                <w:b/>
                <w:bCs/>
                <w:sz w:val="16"/>
                <w:szCs w:val="16"/>
                <w:vertAlign w:val="superscript"/>
              </w:rPr>
              <w:t>2</w:t>
            </w:r>
            <w:r w:rsidRPr="006F7135">
              <w:rPr>
                <w:rFonts w:cs="Arial"/>
                <w:b/>
                <w:bCs/>
                <w:sz w:val="16"/>
                <w:szCs w:val="16"/>
              </w:rPr>
              <w:t xml:space="preserve"> </w:t>
            </w:r>
          </w:p>
          <w:p w:rsidR="00AD4601" w:rsidRPr="006F7135" w:rsidRDefault="00AD4601" w:rsidP="00DD6EA0">
            <w:pPr>
              <w:jc w:val="center"/>
              <w:rPr>
                <w:rFonts w:cs="Arial"/>
                <w:b/>
                <w:bCs/>
                <w:sz w:val="16"/>
                <w:szCs w:val="16"/>
              </w:rPr>
            </w:pPr>
            <w:r w:rsidRPr="006F7135">
              <w:rPr>
                <w:rFonts w:cs="Arial"/>
                <w:b/>
                <w:bCs/>
                <w:sz w:val="16"/>
                <w:szCs w:val="16"/>
              </w:rPr>
              <w:t>(Gesamtheit aller Wohnungen des Gebäudes, in dem die Wohnung liegt)</w:t>
            </w:r>
          </w:p>
        </w:tc>
      </w:tr>
      <w:tr w:rsidR="00AD4601" w:rsidRPr="006F7135" w:rsidTr="00DD6EA0">
        <w:trPr>
          <w:trHeight w:val="300"/>
        </w:trPr>
        <w:tc>
          <w:tcPr>
            <w:tcW w:w="4002" w:type="dxa"/>
            <w:vMerge/>
            <w:tcBorders>
              <w:top w:val="nil"/>
              <w:left w:val="single" w:sz="8" w:space="0" w:color="auto"/>
              <w:bottom w:val="single" w:sz="4" w:space="0" w:color="000000"/>
              <w:right w:val="single" w:sz="8" w:space="0" w:color="auto"/>
            </w:tcBorders>
            <w:vAlign w:val="center"/>
          </w:tcPr>
          <w:p w:rsidR="00AD4601" w:rsidRPr="006F7135" w:rsidRDefault="00AD4601" w:rsidP="00DD6EA0">
            <w:pPr>
              <w:rPr>
                <w:rFonts w:cs="Arial"/>
                <w:sz w:val="16"/>
                <w:szCs w:val="16"/>
              </w:rPr>
            </w:pPr>
          </w:p>
        </w:tc>
        <w:tc>
          <w:tcPr>
            <w:tcW w:w="1078"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100 - 250</w:t>
            </w:r>
          </w:p>
        </w:tc>
        <w:tc>
          <w:tcPr>
            <w:tcW w:w="1078"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251 - 500</w:t>
            </w:r>
          </w:p>
        </w:tc>
        <w:tc>
          <w:tcPr>
            <w:tcW w:w="1215"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501 - 1000</w:t>
            </w:r>
          </w:p>
        </w:tc>
        <w:tc>
          <w:tcPr>
            <w:tcW w:w="1188" w:type="dxa"/>
            <w:tcBorders>
              <w:top w:val="nil"/>
              <w:left w:val="nil"/>
              <w:bottom w:val="single" w:sz="4" w:space="0" w:color="auto"/>
              <w:right w:val="single" w:sz="8"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über 1000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1 Person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75,00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72,00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69,00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68,00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2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98,00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94,00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90,00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88,00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3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113,00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108,00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104,00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101,00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4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135,00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129,00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124,00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121,00</w:t>
            </w:r>
          </w:p>
        </w:tc>
      </w:tr>
      <w:tr w:rsidR="00AD4601" w:rsidRPr="006F7135" w:rsidTr="00DD6EA0">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23,00</w:t>
            </w:r>
          </w:p>
        </w:tc>
        <w:tc>
          <w:tcPr>
            <w:tcW w:w="1078"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22,00</w:t>
            </w:r>
          </w:p>
        </w:tc>
        <w:tc>
          <w:tcPr>
            <w:tcW w:w="1215"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21,00</w:t>
            </w:r>
          </w:p>
        </w:tc>
        <w:tc>
          <w:tcPr>
            <w:tcW w:w="1188" w:type="dxa"/>
            <w:tcBorders>
              <w:top w:val="nil"/>
              <w:left w:val="nil"/>
              <w:bottom w:val="single" w:sz="8"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21,00</w:t>
            </w:r>
          </w:p>
        </w:tc>
      </w:tr>
      <w:tr w:rsidR="00AD4601" w:rsidRPr="006F7135" w:rsidTr="00DD6EA0">
        <w:trPr>
          <w:trHeight w:val="150"/>
        </w:trPr>
        <w:tc>
          <w:tcPr>
            <w:tcW w:w="8561" w:type="dxa"/>
            <w:gridSpan w:val="5"/>
            <w:tcBorders>
              <w:top w:val="single" w:sz="8" w:space="0" w:color="auto"/>
              <w:left w:val="nil"/>
              <w:bottom w:val="single" w:sz="8" w:space="0" w:color="auto"/>
              <w:right w:val="nil"/>
            </w:tcBorders>
            <w:shd w:val="clear" w:color="auto" w:fill="auto"/>
            <w:noWrap/>
            <w:vAlign w:val="bottom"/>
          </w:tcPr>
          <w:p w:rsidR="00AD4601" w:rsidRPr="006F7135" w:rsidRDefault="00AD4601" w:rsidP="00DD6EA0">
            <w:pPr>
              <w:rPr>
                <w:rFonts w:cs="Arial"/>
                <w:sz w:val="16"/>
                <w:szCs w:val="16"/>
              </w:rPr>
            </w:pPr>
            <w:r w:rsidRPr="006F7135">
              <w:rPr>
                <w:rFonts w:cs="Arial"/>
                <w:sz w:val="16"/>
                <w:szCs w:val="16"/>
              </w:rPr>
              <w:t> </w:t>
            </w:r>
          </w:p>
          <w:p w:rsidR="00AD4601" w:rsidRPr="006F7135" w:rsidRDefault="00AD4601" w:rsidP="00DD6EA0">
            <w:pPr>
              <w:rPr>
                <w:rFonts w:cs="Arial"/>
                <w:sz w:val="16"/>
                <w:szCs w:val="16"/>
              </w:rPr>
            </w:pPr>
          </w:p>
        </w:tc>
      </w:tr>
      <w:tr w:rsidR="00AD4601" w:rsidRPr="006F7135" w:rsidTr="00DD6EA0">
        <w:trPr>
          <w:trHeight w:val="315"/>
        </w:trPr>
        <w:tc>
          <w:tcPr>
            <w:tcW w:w="8561" w:type="dxa"/>
            <w:gridSpan w:val="5"/>
            <w:tcBorders>
              <w:top w:val="single" w:sz="8" w:space="0" w:color="auto"/>
              <w:left w:val="single" w:sz="8" w:space="0" w:color="auto"/>
              <w:bottom w:val="single" w:sz="8" w:space="0" w:color="auto"/>
              <w:right w:val="single" w:sz="8" w:space="0" w:color="000000"/>
            </w:tcBorders>
            <w:shd w:val="clear" w:color="auto" w:fill="FF9900"/>
            <w:noWrap/>
            <w:vAlign w:val="bottom"/>
          </w:tcPr>
          <w:p w:rsidR="00AD4601" w:rsidRPr="006F7135" w:rsidRDefault="00AD4601" w:rsidP="00DD6EA0">
            <w:pPr>
              <w:rPr>
                <w:rFonts w:cs="Arial"/>
                <w:b/>
                <w:bCs/>
                <w:sz w:val="16"/>
                <w:szCs w:val="16"/>
              </w:rPr>
            </w:pPr>
            <w:r w:rsidRPr="006F7135">
              <w:rPr>
                <w:rFonts w:cs="Arial"/>
                <w:b/>
                <w:bCs/>
                <w:sz w:val="16"/>
                <w:szCs w:val="16"/>
              </w:rPr>
              <w:t xml:space="preserve"> C. Fernwärme</w:t>
            </w:r>
          </w:p>
        </w:tc>
      </w:tr>
      <w:tr w:rsidR="00AD4601" w:rsidRPr="006F7135" w:rsidTr="00DD6EA0">
        <w:trPr>
          <w:trHeight w:val="300"/>
        </w:trPr>
        <w:tc>
          <w:tcPr>
            <w:tcW w:w="4002" w:type="dxa"/>
            <w:vMerge w:val="restart"/>
            <w:tcBorders>
              <w:top w:val="nil"/>
              <w:left w:val="single" w:sz="8" w:space="0" w:color="auto"/>
              <w:bottom w:val="single" w:sz="4" w:space="0" w:color="000000"/>
              <w:right w:val="single" w:sz="8" w:space="0" w:color="auto"/>
            </w:tcBorders>
            <w:shd w:val="clear" w:color="auto" w:fill="FFCC00"/>
            <w:noWrap/>
            <w:vAlign w:val="bottom"/>
          </w:tcPr>
          <w:p w:rsidR="00AD4601" w:rsidRPr="006F7135" w:rsidRDefault="00AD4601" w:rsidP="00DD6EA0">
            <w:pPr>
              <w:jc w:val="center"/>
              <w:rPr>
                <w:rFonts w:cs="Arial"/>
                <w:sz w:val="16"/>
                <w:szCs w:val="16"/>
              </w:rPr>
            </w:pPr>
            <w:r w:rsidRPr="006F7135">
              <w:rPr>
                <w:rFonts w:cs="Arial"/>
                <w:sz w:val="16"/>
                <w:szCs w:val="16"/>
              </w:rPr>
              <w:t> </w:t>
            </w:r>
          </w:p>
        </w:tc>
        <w:tc>
          <w:tcPr>
            <w:tcW w:w="4559" w:type="dxa"/>
            <w:gridSpan w:val="4"/>
            <w:tcBorders>
              <w:top w:val="single" w:sz="8" w:space="0" w:color="auto"/>
              <w:left w:val="nil"/>
              <w:bottom w:val="single" w:sz="4" w:space="0" w:color="auto"/>
              <w:right w:val="single" w:sz="8" w:space="0" w:color="000000"/>
            </w:tcBorders>
            <w:shd w:val="clear" w:color="auto" w:fill="FFCC00"/>
            <w:vAlign w:val="bottom"/>
          </w:tcPr>
          <w:p w:rsidR="00AD4601" w:rsidRPr="006F7135" w:rsidRDefault="00AD4601" w:rsidP="00DD6EA0">
            <w:pPr>
              <w:jc w:val="center"/>
              <w:rPr>
                <w:rFonts w:cs="Arial"/>
                <w:b/>
                <w:bCs/>
                <w:sz w:val="16"/>
                <w:szCs w:val="16"/>
              </w:rPr>
            </w:pPr>
            <w:r w:rsidRPr="006F7135">
              <w:rPr>
                <w:rFonts w:cs="Arial"/>
                <w:b/>
                <w:bCs/>
                <w:sz w:val="16"/>
                <w:szCs w:val="16"/>
              </w:rPr>
              <w:t>Gebäudefläche in m</w:t>
            </w:r>
            <w:r w:rsidRPr="006F7135">
              <w:rPr>
                <w:rFonts w:cs="Arial"/>
                <w:b/>
                <w:bCs/>
                <w:sz w:val="16"/>
                <w:szCs w:val="16"/>
                <w:vertAlign w:val="superscript"/>
              </w:rPr>
              <w:t>2</w:t>
            </w:r>
            <w:r w:rsidRPr="006F7135">
              <w:rPr>
                <w:rFonts w:cs="Arial"/>
                <w:b/>
                <w:bCs/>
                <w:sz w:val="16"/>
                <w:szCs w:val="16"/>
              </w:rPr>
              <w:t xml:space="preserve"> </w:t>
            </w:r>
          </w:p>
          <w:p w:rsidR="00AD4601" w:rsidRPr="006F7135" w:rsidRDefault="00AD4601" w:rsidP="00DD6EA0">
            <w:pPr>
              <w:jc w:val="center"/>
              <w:rPr>
                <w:rFonts w:cs="Arial"/>
                <w:b/>
                <w:bCs/>
                <w:sz w:val="16"/>
                <w:szCs w:val="16"/>
              </w:rPr>
            </w:pPr>
            <w:r w:rsidRPr="006F7135">
              <w:rPr>
                <w:rFonts w:cs="Arial"/>
                <w:b/>
                <w:bCs/>
                <w:sz w:val="16"/>
                <w:szCs w:val="16"/>
              </w:rPr>
              <w:t>(Gesamtheit aller Wohnungen des Gebäudes, in dem die Wohnung liegt)</w:t>
            </w:r>
          </w:p>
        </w:tc>
      </w:tr>
      <w:tr w:rsidR="00AD4601" w:rsidRPr="006F7135" w:rsidTr="00DD6EA0">
        <w:trPr>
          <w:trHeight w:val="300"/>
        </w:trPr>
        <w:tc>
          <w:tcPr>
            <w:tcW w:w="4002" w:type="dxa"/>
            <w:vMerge/>
            <w:tcBorders>
              <w:top w:val="nil"/>
              <w:left w:val="single" w:sz="8" w:space="0" w:color="auto"/>
              <w:bottom w:val="single" w:sz="4" w:space="0" w:color="000000"/>
              <w:right w:val="single" w:sz="8" w:space="0" w:color="auto"/>
            </w:tcBorders>
            <w:vAlign w:val="center"/>
          </w:tcPr>
          <w:p w:rsidR="00AD4601" w:rsidRPr="006F7135" w:rsidRDefault="00AD4601" w:rsidP="00DD6EA0">
            <w:pPr>
              <w:rPr>
                <w:rFonts w:cs="Arial"/>
                <w:sz w:val="16"/>
                <w:szCs w:val="16"/>
              </w:rPr>
            </w:pPr>
          </w:p>
        </w:tc>
        <w:tc>
          <w:tcPr>
            <w:tcW w:w="1078"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100 - 250</w:t>
            </w:r>
          </w:p>
        </w:tc>
        <w:tc>
          <w:tcPr>
            <w:tcW w:w="1078"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251 - 500</w:t>
            </w:r>
          </w:p>
        </w:tc>
        <w:tc>
          <w:tcPr>
            <w:tcW w:w="1215" w:type="dxa"/>
            <w:tcBorders>
              <w:top w:val="nil"/>
              <w:left w:val="nil"/>
              <w:bottom w:val="single" w:sz="4" w:space="0" w:color="auto"/>
              <w:right w:val="single" w:sz="4"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501 - 1000</w:t>
            </w:r>
          </w:p>
        </w:tc>
        <w:tc>
          <w:tcPr>
            <w:tcW w:w="1188" w:type="dxa"/>
            <w:tcBorders>
              <w:top w:val="nil"/>
              <w:left w:val="nil"/>
              <w:bottom w:val="single" w:sz="4" w:space="0" w:color="auto"/>
              <w:right w:val="single" w:sz="8" w:space="0" w:color="auto"/>
            </w:tcBorders>
            <w:shd w:val="clear" w:color="auto" w:fill="FFCC00"/>
            <w:noWrap/>
            <w:vAlign w:val="bottom"/>
          </w:tcPr>
          <w:p w:rsidR="00AD4601" w:rsidRPr="006F7135" w:rsidRDefault="00AD4601" w:rsidP="00DD6EA0">
            <w:pPr>
              <w:jc w:val="center"/>
              <w:rPr>
                <w:rFonts w:cs="Arial"/>
                <w:b/>
                <w:bCs/>
                <w:sz w:val="16"/>
                <w:szCs w:val="16"/>
              </w:rPr>
            </w:pPr>
            <w:r w:rsidRPr="006F7135">
              <w:rPr>
                <w:rFonts w:cs="Arial"/>
                <w:b/>
                <w:bCs/>
                <w:sz w:val="16"/>
                <w:szCs w:val="16"/>
              </w:rPr>
              <w:t>über 1000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1 Person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85,00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83,00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80,00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78,00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2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110,00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107,00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103,00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101,00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3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127,00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124,00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119,00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117,00</w:t>
            </w:r>
          </w:p>
        </w:tc>
      </w:tr>
      <w:tr w:rsidR="00AD4601" w:rsidRPr="006F7135" w:rsidTr="00DD6EA0">
        <w:trPr>
          <w:trHeight w:val="300"/>
        </w:trPr>
        <w:tc>
          <w:tcPr>
            <w:tcW w:w="4002" w:type="dxa"/>
            <w:tcBorders>
              <w:top w:val="nil"/>
              <w:left w:val="single" w:sz="8" w:space="0" w:color="auto"/>
              <w:bottom w:val="single" w:sz="4"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4 Personen</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153,00</w:t>
            </w:r>
          </w:p>
        </w:tc>
        <w:tc>
          <w:tcPr>
            <w:tcW w:w="1078"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148,00</w:t>
            </w:r>
          </w:p>
        </w:tc>
        <w:tc>
          <w:tcPr>
            <w:tcW w:w="1215" w:type="dxa"/>
            <w:tcBorders>
              <w:top w:val="nil"/>
              <w:left w:val="nil"/>
              <w:bottom w:val="single" w:sz="4"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143,00</w:t>
            </w:r>
          </w:p>
        </w:tc>
        <w:tc>
          <w:tcPr>
            <w:tcW w:w="1188" w:type="dxa"/>
            <w:tcBorders>
              <w:top w:val="nil"/>
              <w:left w:val="nil"/>
              <w:bottom w:val="single" w:sz="4"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140,00</w:t>
            </w:r>
          </w:p>
        </w:tc>
      </w:tr>
      <w:tr w:rsidR="00AD4601" w:rsidRPr="006F7135" w:rsidTr="00DD6EA0">
        <w:trPr>
          <w:trHeight w:val="315"/>
        </w:trPr>
        <w:tc>
          <w:tcPr>
            <w:tcW w:w="4002" w:type="dxa"/>
            <w:tcBorders>
              <w:top w:val="nil"/>
              <w:left w:val="single" w:sz="8" w:space="0" w:color="auto"/>
              <w:bottom w:val="single" w:sz="8" w:space="0" w:color="auto"/>
              <w:right w:val="single" w:sz="8" w:space="0" w:color="auto"/>
            </w:tcBorders>
            <w:shd w:val="clear" w:color="auto" w:fill="FFCC00"/>
            <w:noWrap/>
            <w:vAlign w:val="bottom"/>
          </w:tcPr>
          <w:p w:rsidR="00AD4601" w:rsidRPr="006F7135" w:rsidRDefault="00AD4601" w:rsidP="00DD6EA0">
            <w:pPr>
              <w:rPr>
                <w:rFonts w:cs="Arial"/>
                <w:b/>
                <w:bCs/>
                <w:sz w:val="16"/>
                <w:szCs w:val="16"/>
              </w:rPr>
            </w:pPr>
            <w:r w:rsidRPr="006F7135">
              <w:rPr>
                <w:rFonts w:cs="Arial"/>
                <w:b/>
                <w:bCs/>
                <w:sz w:val="16"/>
                <w:szCs w:val="16"/>
              </w:rPr>
              <w:t>zusätzlich für jede weitere Person</w:t>
            </w:r>
          </w:p>
        </w:tc>
        <w:tc>
          <w:tcPr>
            <w:tcW w:w="1078"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26,00</w:t>
            </w:r>
          </w:p>
        </w:tc>
        <w:tc>
          <w:tcPr>
            <w:tcW w:w="1078"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25,00</w:t>
            </w:r>
          </w:p>
        </w:tc>
        <w:tc>
          <w:tcPr>
            <w:tcW w:w="1215" w:type="dxa"/>
            <w:tcBorders>
              <w:top w:val="nil"/>
              <w:left w:val="nil"/>
              <w:bottom w:val="single" w:sz="8" w:space="0" w:color="auto"/>
              <w:right w:val="single" w:sz="4"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24,00</w:t>
            </w:r>
          </w:p>
        </w:tc>
        <w:tc>
          <w:tcPr>
            <w:tcW w:w="1188" w:type="dxa"/>
            <w:tcBorders>
              <w:top w:val="nil"/>
              <w:left w:val="nil"/>
              <w:bottom w:val="single" w:sz="8" w:space="0" w:color="auto"/>
              <w:right w:val="single" w:sz="8" w:space="0" w:color="auto"/>
            </w:tcBorders>
            <w:shd w:val="clear" w:color="auto" w:fill="FFFF99"/>
            <w:noWrap/>
            <w:vAlign w:val="bottom"/>
          </w:tcPr>
          <w:p w:rsidR="00AD4601" w:rsidRPr="006F7135" w:rsidRDefault="00AD4601" w:rsidP="00DD6EA0">
            <w:pPr>
              <w:jc w:val="right"/>
              <w:rPr>
                <w:rFonts w:cs="Arial"/>
                <w:sz w:val="16"/>
                <w:szCs w:val="16"/>
              </w:rPr>
            </w:pPr>
            <w:r w:rsidRPr="006F7135">
              <w:rPr>
                <w:rFonts w:cs="Arial"/>
                <w:sz w:val="16"/>
                <w:szCs w:val="16"/>
              </w:rPr>
              <w:t>24,00</w:t>
            </w:r>
          </w:p>
        </w:tc>
      </w:tr>
    </w:tbl>
    <w:p w:rsidR="00AD4601" w:rsidRPr="006F7135" w:rsidRDefault="00AD4601" w:rsidP="00AD4601">
      <w:pPr>
        <w:jc w:val="both"/>
        <w:rPr>
          <w:rFonts w:cs="Arial"/>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D4601" w:rsidRPr="006F7135" w:rsidTr="006F7135">
        <w:tc>
          <w:tcPr>
            <w:tcW w:w="9356" w:type="dxa"/>
            <w:tcBorders>
              <w:top w:val="single" w:sz="4" w:space="0" w:color="auto"/>
              <w:left w:val="single" w:sz="4" w:space="0" w:color="auto"/>
              <w:bottom w:val="single" w:sz="4" w:space="0" w:color="auto"/>
              <w:right w:val="single" w:sz="4" w:space="0" w:color="auto"/>
            </w:tcBorders>
          </w:tcPr>
          <w:p w:rsidR="00AD4601" w:rsidRPr="006F7135" w:rsidRDefault="00AD4601" w:rsidP="00DD6EA0">
            <w:pPr>
              <w:jc w:val="both"/>
              <w:rPr>
                <w:rFonts w:cs="Arial"/>
                <w:sz w:val="16"/>
                <w:szCs w:val="16"/>
              </w:rPr>
            </w:pPr>
            <w:r w:rsidRPr="006F7135">
              <w:rPr>
                <w:rFonts w:cs="Arial"/>
                <w:sz w:val="16"/>
                <w:szCs w:val="16"/>
              </w:rPr>
              <w:t xml:space="preserve">Die bei </w:t>
            </w:r>
            <w:r w:rsidRPr="006F7135">
              <w:rPr>
                <w:rFonts w:cs="Arial"/>
                <w:b/>
                <w:sz w:val="16"/>
                <w:szCs w:val="16"/>
              </w:rPr>
              <w:t xml:space="preserve">Holzheizung </w:t>
            </w:r>
            <w:r w:rsidRPr="006F7135">
              <w:rPr>
                <w:rFonts w:cs="Arial"/>
                <w:sz w:val="16"/>
                <w:szCs w:val="16"/>
              </w:rPr>
              <w:t>(Holzzentral- bzw. Holzeinzelofenheizung) anfallenden Heizkosten werden nach Bedarf anerkannt / bewilligt. Richtwert für die Angemessenheit ist hierfür der entsprechende Wert aus der Tabelle A. Heizöl.</w:t>
            </w:r>
          </w:p>
        </w:tc>
      </w:tr>
    </w:tbl>
    <w:p w:rsidR="00AD4601" w:rsidRPr="006F7135" w:rsidRDefault="00AD4601" w:rsidP="006F713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16"/>
          <w:szCs w:val="16"/>
        </w:rPr>
      </w:pPr>
      <w:r w:rsidRPr="006F7135">
        <w:rPr>
          <w:rFonts w:cs="Arial"/>
          <w:b/>
          <w:sz w:val="16"/>
          <w:szCs w:val="16"/>
        </w:rPr>
        <w:t>Stromheizung</w:t>
      </w:r>
    </w:p>
    <w:p w:rsidR="00AD4601" w:rsidRPr="006F7135" w:rsidRDefault="00AD4601" w:rsidP="006F713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sz w:val="16"/>
          <w:szCs w:val="16"/>
        </w:rPr>
      </w:pPr>
      <w:r w:rsidRPr="006F7135">
        <w:rPr>
          <w:rFonts w:cs="Arial"/>
          <w:sz w:val="16"/>
          <w:szCs w:val="16"/>
        </w:rPr>
        <w:t>Weil dem Bundesweiten Heizspiegel keine Vergleichswerte für eine elektrische Heizung zu entnehmen sind, wird in analoger Anwendung des Urteiles des BSG vom 12.06.2013, B 14 AS 60/12 R- derzeit auf den ungünstigsten (100-250 m²) Heizkostenverbrauch einer Heizölheizung als Richtwert zurückgegriffen.</w:t>
      </w:r>
    </w:p>
    <w:p w:rsidR="00C810D5" w:rsidRPr="006F7135" w:rsidRDefault="00C810D5" w:rsidP="00BA3643">
      <w:pPr>
        <w:rPr>
          <w:rFonts w:cs="Arial"/>
          <w:sz w:val="16"/>
          <w:szCs w:val="16"/>
        </w:rPr>
      </w:pPr>
    </w:p>
    <w:p w:rsidR="002104DC" w:rsidRPr="006F7135" w:rsidRDefault="002104DC" w:rsidP="002104DC">
      <w:pPr>
        <w:jc w:val="both"/>
        <w:rPr>
          <w:rFonts w:cs="Arial"/>
          <w:sz w:val="16"/>
          <w:szCs w:val="16"/>
        </w:rPr>
      </w:pPr>
      <w:r w:rsidRPr="006F7135">
        <w:rPr>
          <w:rFonts w:cs="Arial"/>
          <w:sz w:val="16"/>
          <w:szCs w:val="16"/>
        </w:rPr>
        <w:t>Anteile Haushaltsenergie ab 2014 in EUR:</w:t>
      </w:r>
    </w:p>
    <w:p w:rsidR="002104DC" w:rsidRPr="006F7135" w:rsidRDefault="002104DC" w:rsidP="002104DC">
      <w:pPr>
        <w:jc w:val="both"/>
        <w:rPr>
          <w:rFonts w:cs="Arial"/>
          <w:sz w:val="16"/>
          <w:szCs w:val="16"/>
        </w:rPr>
      </w:pPr>
      <w:r w:rsidRPr="006F7135">
        <w:rPr>
          <w:rFonts w:cs="Arial"/>
          <w:sz w:val="16"/>
          <w:szCs w:val="16"/>
        </w:rPr>
        <w:t>RB 391 = 28,96;  RB 353 = 26,15;  RB 313 = 23,19;  RB 296 = 9,10</w:t>
      </w:r>
    </w:p>
    <w:p w:rsidR="002104DC" w:rsidRPr="006F7135" w:rsidRDefault="002104DC" w:rsidP="002104DC">
      <w:pPr>
        <w:jc w:val="both"/>
        <w:rPr>
          <w:rFonts w:cs="Arial"/>
          <w:sz w:val="16"/>
          <w:szCs w:val="16"/>
        </w:rPr>
      </w:pPr>
      <w:r w:rsidRPr="006F7135">
        <w:rPr>
          <w:rFonts w:cs="Arial"/>
          <w:sz w:val="16"/>
          <w:szCs w:val="16"/>
        </w:rPr>
        <w:t xml:space="preserve">RB 261 =   8,74;  RB 229 =   5,76. </w:t>
      </w:r>
    </w:p>
    <w:p w:rsidR="00525669" w:rsidRPr="006F7135" w:rsidRDefault="00525669" w:rsidP="00BA3643">
      <w:pPr>
        <w:rPr>
          <w:rFonts w:cs="Arial"/>
          <w:sz w:val="16"/>
          <w:szCs w:val="16"/>
        </w:rPr>
      </w:pPr>
    </w:p>
    <w:p w:rsidR="006A34CC" w:rsidRDefault="006A34CC" w:rsidP="00BA3643">
      <w:pPr>
        <w:rPr>
          <w:rFonts w:cs="Arial"/>
        </w:rPr>
      </w:pPr>
    </w:p>
    <w:p w:rsidR="00691977" w:rsidRDefault="00691977" w:rsidP="00BA3643">
      <w:pPr>
        <w:rPr>
          <w:rFonts w:cs="Arial"/>
        </w:rPr>
      </w:pPr>
    </w:p>
    <w:p w:rsidR="00644956" w:rsidRDefault="00644956" w:rsidP="00BA3643">
      <w:pPr>
        <w:rPr>
          <w:rFonts w:cs="Arial"/>
        </w:rPr>
      </w:pPr>
    </w:p>
    <w:p w:rsidR="00644956" w:rsidRDefault="00644956" w:rsidP="00BA3643">
      <w:pPr>
        <w:rPr>
          <w:rFonts w:cs="Arial"/>
        </w:rPr>
      </w:pPr>
    </w:p>
    <w:p w:rsidR="004B2EB4" w:rsidRDefault="004B2EB4" w:rsidP="00BA3643">
      <w:pPr>
        <w:rPr>
          <w:rFonts w:cs="Arial"/>
        </w:rPr>
      </w:pPr>
    </w:p>
    <w:p w:rsidR="004B2EB4" w:rsidRDefault="004B2EB4" w:rsidP="00BA3643">
      <w:pPr>
        <w:rPr>
          <w:rFonts w:cs="Arial"/>
        </w:rPr>
      </w:pPr>
    </w:p>
    <w:p w:rsidR="00BA3643" w:rsidRDefault="00BA3643" w:rsidP="00E5033E">
      <w:pPr>
        <w:pStyle w:val="Listenabsatz"/>
        <w:numPr>
          <w:ilvl w:val="0"/>
          <w:numId w:val="24"/>
        </w:numPr>
        <w:rPr>
          <w:rFonts w:cs="Arial"/>
          <w:sz w:val="28"/>
          <w:szCs w:val="28"/>
        </w:rPr>
      </w:pPr>
      <w:r w:rsidRPr="00993152">
        <w:rPr>
          <w:rFonts w:cs="Arial"/>
          <w:sz w:val="28"/>
          <w:szCs w:val="28"/>
        </w:rPr>
        <w:lastRenderedPageBreak/>
        <w:t>Warmwasserkosten</w:t>
      </w:r>
    </w:p>
    <w:p w:rsidR="00D016CE" w:rsidRPr="00D016CE" w:rsidRDefault="00D016CE" w:rsidP="00D016CE">
      <w:pPr>
        <w:ind w:left="360"/>
        <w:rPr>
          <w:rFonts w:cs="Arial"/>
          <w:sz w:val="28"/>
          <w:szCs w:val="28"/>
        </w:rPr>
      </w:pPr>
    </w:p>
    <w:p w:rsidR="00D016CE" w:rsidRPr="00D016CE" w:rsidRDefault="00D016CE" w:rsidP="00D016CE">
      <w:pPr>
        <w:ind w:left="360"/>
        <w:rPr>
          <w:rFonts w:cs="Arial"/>
          <w:b/>
          <w:sz w:val="18"/>
          <w:szCs w:val="18"/>
        </w:rPr>
      </w:pPr>
      <w:r w:rsidRPr="00D016CE">
        <w:rPr>
          <w:rFonts w:cs="Arial"/>
          <w:b/>
          <w:sz w:val="18"/>
          <w:szCs w:val="18"/>
        </w:rPr>
        <w:t>Zeitraum 01.01.2016 – 31.12.2016</w:t>
      </w:r>
    </w:p>
    <w:p w:rsidR="00D016CE" w:rsidRPr="00D016CE" w:rsidRDefault="00D016CE" w:rsidP="00D016CE">
      <w:pPr>
        <w:ind w:left="360"/>
        <w:rPr>
          <w:rFonts w:cs="Arial"/>
          <w:b/>
        </w:rPr>
      </w:pPr>
    </w:p>
    <w:tbl>
      <w:tblPr>
        <w:tblStyle w:val="Tabellenraster"/>
        <w:tblW w:w="0" w:type="auto"/>
        <w:tblInd w:w="46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766"/>
        <w:gridCol w:w="1378"/>
        <w:gridCol w:w="2976"/>
      </w:tblGrid>
      <w:tr w:rsidR="00D016CE" w:rsidTr="00D016CE">
        <w:tc>
          <w:tcPr>
            <w:tcW w:w="1766" w:type="dxa"/>
            <w:tcBorders>
              <w:top w:val="single" w:sz="4" w:space="0" w:color="999999"/>
              <w:left w:val="single" w:sz="6" w:space="0" w:color="999999"/>
              <w:bottom w:val="single" w:sz="6" w:space="0" w:color="999999"/>
              <w:right w:val="single" w:sz="6" w:space="0" w:color="999999"/>
            </w:tcBorders>
            <w:shd w:val="clear" w:color="auto" w:fill="E0E0E0"/>
          </w:tcPr>
          <w:p w:rsidR="00D016CE" w:rsidRPr="00D016CE" w:rsidRDefault="00D016CE" w:rsidP="00D016CE">
            <w:pPr>
              <w:jc w:val="center"/>
              <w:rPr>
                <w:rFonts w:cs="Arial"/>
                <w:sz w:val="16"/>
                <w:szCs w:val="16"/>
              </w:rPr>
            </w:pPr>
          </w:p>
          <w:p w:rsidR="00D016CE" w:rsidRPr="00D016CE" w:rsidRDefault="00D016CE" w:rsidP="00D016CE">
            <w:pPr>
              <w:jc w:val="center"/>
              <w:rPr>
                <w:rFonts w:cs="Arial"/>
                <w:sz w:val="16"/>
                <w:szCs w:val="16"/>
              </w:rPr>
            </w:pPr>
            <w:r w:rsidRPr="00D016CE">
              <w:rPr>
                <w:rFonts w:cs="Arial"/>
                <w:sz w:val="16"/>
                <w:szCs w:val="16"/>
              </w:rPr>
              <w:t>Regelbedarf</w:t>
            </w:r>
          </w:p>
          <w:p w:rsidR="00D016CE" w:rsidRPr="00D016CE" w:rsidRDefault="00D016CE" w:rsidP="00D016CE">
            <w:pPr>
              <w:jc w:val="center"/>
              <w:rPr>
                <w:rFonts w:cs="Arial"/>
                <w:sz w:val="16"/>
                <w:szCs w:val="16"/>
              </w:rPr>
            </w:pPr>
          </w:p>
        </w:tc>
        <w:tc>
          <w:tcPr>
            <w:tcW w:w="1378" w:type="dxa"/>
            <w:tcBorders>
              <w:top w:val="single" w:sz="4" w:space="0" w:color="999999"/>
              <w:left w:val="single" w:sz="6" w:space="0" w:color="999999"/>
              <w:bottom w:val="single" w:sz="6" w:space="0" w:color="999999"/>
              <w:right w:val="single" w:sz="6" w:space="0" w:color="999999"/>
            </w:tcBorders>
            <w:shd w:val="clear" w:color="auto" w:fill="E0E0E0"/>
          </w:tcPr>
          <w:p w:rsidR="00D016CE" w:rsidRPr="00D016CE" w:rsidRDefault="00D016CE" w:rsidP="00D016CE">
            <w:pPr>
              <w:jc w:val="center"/>
              <w:rPr>
                <w:rFonts w:cs="Arial"/>
                <w:sz w:val="16"/>
                <w:szCs w:val="16"/>
              </w:rPr>
            </w:pPr>
          </w:p>
          <w:p w:rsidR="00D016CE" w:rsidRPr="00D016CE" w:rsidRDefault="00D016CE" w:rsidP="00D016CE">
            <w:pPr>
              <w:jc w:val="center"/>
              <w:rPr>
                <w:rFonts w:cs="Arial"/>
                <w:sz w:val="16"/>
                <w:szCs w:val="16"/>
              </w:rPr>
            </w:pPr>
            <w:r w:rsidRPr="00D016CE">
              <w:rPr>
                <w:rFonts w:cs="Arial"/>
                <w:sz w:val="16"/>
                <w:szCs w:val="16"/>
              </w:rPr>
              <w:t>Prozentsatz für Mehrbedarf</w:t>
            </w:r>
          </w:p>
        </w:tc>
        <w:tc>
          <w:tcPr>
            <w:tcW w:w="2976" w:type="dxa"/>
            <w:tcBorders>
              <w:top w:val="single" w:sz="4" w:space="0" w:color="999999"/>
              <w:left w:val="single" w:sz="6" w:space="0" w:color="999999"/>
              <w:bottom w:val="single" w:sz="6" w:space="0" w:color="999999"/>
              <w:right w:val="single" w:sz="4" w:space="0" w:color="999999"/>
            </w:tcBorders>
            <w:shd w:val="clear" w:color="auto" w:fill="E0E0E0"/>
          </w:tcPr>
          <w:p w:rsidR="00D016CE" w:rsidRPr="00D016CE" w:rsidRDefault="00D016CE" w:rsidP="00D016CE">
            <w:pPr>
              <w:rPr>
                <w:rFonts w:cs="Arial"/>
                <w:sz w:val="16"/>
                <w:szCs w:val="16"/>
              </w:rPr>
            </w:pPr>
          </w:p>
          <w:p w:rsidR="00D016CE" w:rsidRPr="00D016CE" w:rsidRDefault="00D016CE" w:rsidP="00D016CE">
            <w:pPr>
              <w:rPr>
                <w:rFonts w:cs="Arial"/>
                <w:sz w:val="16"/>
                <w:szCs w:val="16"/>
              </w:rPr>
            </w:pPr>
            <w:r w:rsidRPr="00D016CE">
              <w:rPr>
                <w:rFonts w:cs="Arial"/>
                <w:sz w:val="16"/>
                <w:szCs w:val="16"/>
              </w:rPr>
              <w:t>Mehrbedarf bei dezentraler</w:t>
            </w:r>
          </w:p>
          <w:p w:rsidR="00D016CE" w:rsidRPr="00D016CE" w:rsidRDefault="00D016CE" w:rsidP="00D016CE">
            <w:pPr>
              <w:rPr>
                <w:rFonts w:cs="Arial"/>
                <w:sz w:val="16"/>
                <w:szCs w:val="16"/>
              </w:rPr>
            </w:pPr>
            <w:r w:rsidRPr="00D016CE">
              <w:rPr>
                <w:rFonts w:cs="Arial"/>
                <w:sz w:val="16"/>
                <w:szCs w:val="16"/>
              </w:rPr>
              <w:t xml:space="preserve">WW-Erzeugung </w:t>
            </w:r>
          </w:p>
          <w:p w:rsidR="00D016CE" w:rsidRPr="00644956" w:rsidRDefault="00D016CE" w:rsidP="00D016CE">
            <w:pPr>
              <w:rPr>
                <w:rFonts w:cs="Arial"/>
                <w:b/>
                <w:sz w:val="16"/>
                <w:szCs w:val="16"/>
                <w:u w:val="single"/>
              </w:rPr>
            </w:pPr>
            <w:r w:rsidRPr="00D016CE">
              <w:rPr>
                <w:rFonts w:cs="Arial"/>
                <w:b/>
                <w:sz w:val="16"/>
                <w:szCs w:val="16"/>
                <w:u w:val="single"/>
              </w:rPr>
              <w:t xml:space="preserve"> </w:t>
            </w:r>
          </w:p>
        </w:tc>
      </w:tr>
      <w:tr w:rsidR="00D016CE" w:rsidTr="00D016CE">
        <w:tc>
          <w:tcPr>
            <w:tcW w:w="1766"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404,00 EUR</w:t>
            </w:r>
          </w:p>
        </w:tc>
        <w:tc>
          <w:tcPr>
            <w:tcW w:w="1378"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2,3</w:t>
            </w:r>
          </w:p>
        </w:tc>
        <w:tc>
          <w:tcPr>
            <w:tcW w:w="2976" w:type="dxa"/>
            <w:tcBorders>
              <w:top w:val="single" w:sz="6" w:space="0" w:color="999999"/>
              <w:left w:val="single" w:sz="6" w:space="0" w:color="999999"/>
              <w:bottom w:val="single" w:sz="6" w:space="0" w:color="999999"/>
              <w:right w:val="single" w:sz="4"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9,29 EUR</w:t>
            </w:r>
          </w:p>
        </w:tc>
      </w:tr>
      <w:tr w:rsidR="00D016CE" w:rsidTr="00D016CE">
        <w:tc>
          <w:tcPr>
            <w:tcW w:w="1766"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364,00 EUR</w:t>
            </w:r>
          </w:p>
        </w:tc>
        <w:tc>
          <w:tcPr>
            <w:tcW w:w="1378"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2,3</w:t>
            </w:r>
          </w:p>
        </w:tc>
        <w:tc>
          <w:tcPr>
            <w:tcW w:w="2976" w:type="dxa"/>
            <w:tcBorders>
              <w:top w:val="single" w:sz="6" w:space="0" w:color="999999"/>
              <w:left w:val="single" w:sz="6" w:space="0" w:color="999999"/>
              <w:bottom w:val="single" w:sz="6" w:space="0" w:color="999999"/>
              <w:right w:val="single" w:sz="4"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8,37 EUR</w:t>
            </w:r>
          </w:p>
        </w:tc>
      </w:tr>
      <w:tr w:rsidR="00D016CE" w:rsidTr="00D016CE">
        <w:tc>
          <w:tcPr>
            <w:tcW w:w="1766"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324,00 EUR</w:t>
            </w:r>
          </w:p>
        </w:tc>
        <w:tc>
          <w:tcPr>
            <w:tcW w:w="1378"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2,3</w:t>
            </w:r>
          </w:p>
        </w:tc>
        <w:tc>
          <w:tcPr>
            <w:tcW w:w="2976" w:type="dxa"/>
            <w:tcBorders>
              <w:top w:val="single" w:sz="6" w:space="0" w:color="999999"/>
              <w:left w:val="single" w:sz="6" w:space="0" w:color="999999"/>
              <w:bottom w:val="single" w:sz="6" w:space="0" w:color="999999"/>
              <w:right w:val="single" w:sz="4"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7,45 EUR</w:t>
            </w:r>
          </w:p>
        </w:tc>
      </w:tr>
      <w:tr w:rsidR="00D016CE" w:rsidTr="00D016CE">
        <w:tc>
          <w:tcPr>
            <w:tcW w:w="1766"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306,00 EUR</w:t>
            </w:r>
          </w:p>
        </w:tc>
        <w:tc>
          <w:tcPr>
            <w:tcW w:w="1378"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1,4</w:t>
            </w:r>
          </w:p>
        </w:tc>
        <w:tc>
          <w:tcPr>
            <w:tcW w:w="2976" w:type="dxa"/>
            <w:tcBorders>
              <w:top w:val="single" w:sz="6" w:space="0" w:color="999999"/>
              <w:left w:val="single" w:sz="6" w:space="0" w:color="999999"/>
              <w:bottom w:val="single" w:sz="6" w:space="0" w:color="999999"/>
              <w:right w:val="single" w:sz="4"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4,28 EUR</w:t>
            </w:r>
          </w:p>
        </w:tc>
      </w:tr>
      <w:tr w:rsidR="00D016CE" w:rsidTr="00D016CE">
        <w:tc>
          <w:tcPr>
            <w:tcW w:w="1766"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270,00 EUR</w:t>
            </w:r>
          </w:p>
        </w:tc>
        <w:tc>
          <w:tcPr>
            <w:tcW w:w="1378" w:type="dxa"/>
            <w:tcBorders>
              <w:top w:val="single" w:sz="6" w:space="0" w:color="999999"/>
              <w:left w:val="single" w:sz="6" w:space="0" w:color="999999"/>
              <w:bottom w:val="single" w:sz="6"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1,2</w:t>
            </w:r>
          </w:p>
        </w:tc>
        <w:tc>
          <w:tcPr>
            <w:tcW w:w="2976" w:type="dxa"/>
            <w:tcBorders>
              <w:top w:val="single" w:sz="6" w:space="0" w:color="999999"/>
              <w:left w:val="single" w:sz="6" w:space="0" w:color="999999"/>
              <w:bottom w:val="single" w:sz="6" w:space="0" w:color="999999"/>
              <w:right w:val="single" w:sz="4"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3,24 EUR</w:t>
            </w:r>
          </w:p>
        </w:tc>
      </w:tr>
      <w:tr w:rsidR="00D016CE" w:rsidTr="00D016CE">
        <w:tc>
          <w:tcPr>
            <w:tcW w:w="1766" w:type="dxa"/>
            <w:tcBorders>
              <w:top w:val="single" w:sz="6" w:space="0" w:color="999999"/>
              <w:left w:val="single" w:sz="6" w:space="0" w:color="999999"/>
              <w:bottom w:val="single" w:sz="4"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237,00 EUR</w:t>
            </w:r>
          </w:p>
        </w:tc>
        <w:tc>
          <w:tcPr>
            <w:tcW w:w="1378" w:type="dxa"/>
            <w:tcBorders>
              <w:top w:val="single" w:sz="6" w:space="0" w:color="999999"/>
              <w:left w:val="single" w:sz="6" w:space="0" w:color="999999"/>
              <w:bottom w:val="single" w:sz="4" w:space="0" w:color="999999"/>
              <w:right w:val="single" w:sz="6"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0,8</w:t>
            </w:r>
          </w:p>
        </w:tc>
        <w:tc>
          <w:tcPr>
            <w:tcW w:w="2976" w:type="dxa"/>
            <w:tcBorders>
              <w:top w:val="single" w:sz="6" w:space="0" w:color="999999"/>
              <w:left w:val="single" w:sz="6" w:space="0" w:color="999999"/>
              <w:bottom w:val="single" w:sz="4" w:space="0" w:color="999999"/>
              <w:right w:val="single" w:sz="4" w:space="0" w:color="999999"/>
            </w:tcBorders>
            <w:hideMark/>
          </w:tcPr>
          <w:p w:rsidR="00D016CE" w:rsidRPr="00D016CE" w:rsidRDefault="00D016CE" w:rsidP="00D016CE">
            <w:pPr>
              <w:spacing w:before="120" w:after="120"/>
              <w:jc w:val="center"/>
              <w:rPr>
                <w:rFonts w:cs="Arial"/>
                <w:sz w:val="16"/>
                <w:szCs w:val="16"/>
              </w:rPr>
            </w:pPr>
            <w:r w:rsidRPr="00D016CE">
              <w:rPr>
                <w:rFonts w:cs="Arial"/>
                <w:sz w:val="16"/>
                <w:szCs w:val="16"/>
              </w:rPr>
              <w:t>1,90 EUR</w:t>
            </w:r>
          </w:p>
        </w:tc>
      </w:tr>
    </w:tbl>
    <w:p w:rsidR="00E773E9" w:rsidRPr="00E773E9" w:rsidRDefault="00E773E9" w:rsidP="00E773E9">
      <w:pPr>
        <w:ind w:left="360"/>
        <w:rPr>
          <w:rFonts w:cs="Arial"/>
          <w:sz w:val="28"/>
          <w:szCs w:val="28"/>
        </w:rPr>
      </w:pPr>
    </w:p>
    <w:p w:rsidR="00B0527F" w:rsidRPr="00D016CE" w:rsidRDefault="00E773E9" w:rsidP="00B0527F">
      <w:pPr>
        <w:ind w:left="360"/>
        <w:rPr>
          <w:rFonts w:cs="Arial"/>
          <w:b/>
          <w:sz w:val="18"/>
          <w:szCs w:val="18"/>
        </w:rPr>
      </w:pPr>
      <w:r w:rsidRPr="00D016CE">
        <w:rPr>
          <w:rFonts w:cs="Arial"/>
          <w:b/>
          <w:sz w:val="18"/>
          <w:szCs w:val="18"/>
        </w:rPr>
        <w:t>Zeitraum 01.01.2015 – 31.12.2015</w:t>
      </w:r>
    </w:p>
    <w:p w:rsidR="00E773E9" w:rsidRPr="003A5269" w:rsidRDefault="00E773E9" w:rsidP="00E773E9">
      <w:pPr>
        <w:rPr>
          <w:rFonts w:eastAsia="Times New Roman" w:cs="Arial"/>
          <w:lang w:eastAsia="de-DE"/>
        </w:rPr>
      </w:pPr>
    </w:p>
    <w:tbl>
      <w:tblPr>
        <w:tblW w:w="0" w:type="auto"/>
        <w:tblInd w:w="536"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766"/>
        <w:gridCol w:w="1378"/>
        <w:gridCol w:w="2976"/>
      </w:tblGrid>
      <w:tr w:rsidR="00E773E9" w:rsidRPr="00D016CE" w:rsidTr="00E773E9">
        <w:tc>
          <w:tcPr>
            <w:tcW w:w="1766" w:type="dxa"/>
            <w:tcBorders>
              <w:top w:val="single" w:sz="4" w:space="0" w:color="999999"/>
              <w:left w:val="single" w:sz="6" w:space="0" w:color="999999"/>
              <w:bottom w:val="single" w:sz="6" w:space="0" w:color="999999"/>
              <w:right w:val="single" w:sz="6" w:space="0" w:color="999999"/>
            </w:tcBorders>
            <w:shd w:val="clear" w:color="auto" w:fill="E0E0E0"/>
          </w:tcPr>
          <w:p w:rsidR="00E773E9" w:rsidRPr="00D016CE" w:rsidRDefault="00E773E9" w:rsidP="00E82B9B">
            <w:pPr>
              <w:jc w:val="center"/>
              <w:rPr>
                <w:rFonts w:eastAsia="Times New Roman" w:cs="Arial"/>
                <w:sz w:val="16"/>
                <w:szCs w:val="16"/>
                <w:lang w:eastAsia="de-DE"/>
              </w:rPr>
            </w:pPr>
          </w:p>
          <w:p w:rsidR="00E773E9" w:rsidRPr="00D016CE" w:rsidRDefault="00E773E9" w:rsidP="00E82B9B">
            <w:pPr>
              <w:jc w:val="center"/>
              <w:rPr>
                <w:rFonts w:eastAsia="Times New Roman" w:cs="Arial"/>
                <w:sz w:val="16"/>
                <w:szCs w:val="16"/>
                <w:lang w:eastAsia="de-DE"/>
              </w:rPr>
            </w:pPr>
            <w:r w:rsidRPr="00D016CE">
              <w:rPr>
                <w:rFonts w:eastAsia="Times New Roman" w:cs="Arial"/>
                <w:sz w:val="16"/>
                <w:szCs w:val="16"/>
                <w:lang w:eastAsia="de-DE"/>
              </w:rPr>
              <w:t>Regelbedarf</w:t>
            </w:r>
          </w:p>
          <w:p w:rsidR="00E773E9" w:rsidRPr="00D016CE" w:rsidRDefault="00E773E9" w:rsidP="00E82B9B">
            <w:pPr>
              <w:jc w:val="center"/>
              <w:rPr>
                <w:rFonts w:eastAsia="Times New Roman" w:cs="Arial"/>
                <w:sz w:val="16"/>
                <w:szCs w:val="16"/>
                <w:lang w:eastAsia="de-DE"/>
              </w:rPr>
            </w:pPr>
          </w:p>
        </w:tc>
        <w:tc>
          <w:tcPr>
            <w:tcW w:w="1378" w:type="dxa"/>
            <w:tcBorders>
              <w:top w:val="single" w:sz="4" w:space="0" w:color="999999"/>
              <w:left w:val="single" w:sz="6" w:space="0" w:color="999999"/>
              <w:bottom w:val="single" w:sz="6" w:space="0" w:color="999999"/>
              <w:right w:val="single" w:sz="6" w:space="0" w:color="999999"/>
            </w:tcBorders>
            <w:shd w:val="clear" w:color="auto" w:fill="E0E0E0"/>
          </w:tcPr>
          <w:p w:rsidR="00E773E9" w:rsidRPr="00D016CE" w:rsidRDefault="00E773E9" w:rsidP="00E82B9B">
            <w:pPr>
              <w:jc w:val="center"/>
              <w:rPr>
                <w:rFonts w:eastAsia="Times New Roman" w:cs="Arial"/>
                <w:sz w:val="16"/>
                <w:szCs w:val="16"/>
                <w:lang w:eastAsia="de-DE"/>
              </w:rPr>
            </w:pPr>
          </w:p>
          <w:p w:rsidR="00E773E9" w:rsidRPr="00D016CE" w:rsidRDefault="00E773E9" w:rsidP="00E82B9B">
            <w:pPr>
              <w:jc w:val="center"/>
              <w:rPr>
                <w:rFonts w:eastAsia="Times New Roman" w:cs="Arial"/>
                <w:sz w:val="16"/>
                <w:szCs w:val="16"/>
                <w:lang w:eastAsia="de-DE"/>
              </w:rPr>
            </w:pPr>
            <w:r w:rsidRPr="00D016CE">
              <w:rPr>
                <w:rFonts w:eastAsia="Times New Roman" w:cs="Arial"/>
                <w:sz w:val="16"/>
                <w:szCs w:val="16"/>
                <w:lang w:eastAsia="de-DE"/>
              </w:rPr>
              <w:t>Prozentsatz für Mehrbedarf</w:t>
            </w:r>
          </w:p>
        </w:tc>
        <w:tc>
          <w:tcPr>
            <w:tcW w:w="2976" w:type="dxa"/>
            <w:tcBorders>
              <w:top w:val="single" w:sz="4" w:space="0" w:color="999999"/>
              <w:left w:val="single" w:sz="6" w:space="0" w:color="999999"/>
              <w:bottom w:val="single" w:sz="6" w:space="0" w:color="999999"/>
              <w:right w:val="single" w:sz="4" w:space="0" w:color="999999"/>
            </w:tcBorders>
            <w:shd w:val="clear" w:color="auto" w:fill="E0E0E0"/>
          </w:tcPr>
          <w:p w:rsidR="00E773E9" w:rsidRPr="00D016CE" w:rsidRDefault="00E773E9" w:rsidP="00E82B9B">
            <w:pPr>
              <w:rPr>
                <w:rFonts w:eastAsia="Times New Roman" w:cs="Arial"/>
                <w:sz w:val="16"/>
                <w:szCs w:val="16"/>
                <w:lang w:eastAsia="de-DE"/>
              </w:rPr>
            </w:pPr>
          </w:p>
          <w:p w:rsidR="00E773E9" w:rsidRPr="00D016CE" w:rsidRDefault="00E773E9" w:rsidP="00E82B9B">
            <w:pPr>
              <w:rPr>
                <w:rFonts w:eastAsia="Times New Roman" w:cs="Arial"/>
                <w:sz w:val="16"/>
                <w:szCs w:val="16"/>
                <w:lang w:eastAsia="de-DE"/>
              </w:rPr>
            </w:pPr>
            <w:r w:rsidRPr="00D016CE">
              <w:rPr>
                <w:rFonts w:eastAsia="Times New Roman" w:cs="Arial"/>
                <w:sz w:val="16"/>
                <w:szCs w:val="16"/>
                <w:lang w:eastAsia="de-DE"/>
              </w:rPr>
              <w:t>Mehrbedarf bei dezentraler</w:t>
            </w:r>
          </w:p>
          <w:p w:rsidR="00E773E9" w:rsidRPr="00D016CE" w:rsidRDefault="00E773E9" w:rsidP="00E82B9B">
            <w:pPr>
              <w:rPr>
                <w:rFonts w:eastAsia="Times New Roman" w:cs="Arial"/>
                <w:sz w:val="16"/>
                <w:szCs w:val="16"/>
                <w:lang w:eastAsia="de-DE"/>
              </w:rPr>
            </w:pPr>
            <w:r w:rsidRPr="00D016CE">
              <w:rPr>
                <w:rFonts w:eastAsia="Times New Roman" w:cs="Arial"/>
                <w:sz w:val="16"/>
                <w:szCs w:val="16"/>
                <w:lang w:eastAsia="de-DE"/>
              </w:rPr>
              <w:t xml:space="preserve">WW-Erzeugung </w:t>
            </w:r>
          </w:p>
          <w:p w:rsidR="00E773E9" w:rsidRPr="00D016CE" w:rsidRDefault="00E773E9" w:rsidP="00E82B9B">
            <w:pPr>
              <w:rPr>
                <w:rFonts w:eastAsia="Times New Roman" w:cs="Arial"/>
                <w:sz w:val="16"/>
                <w:szCs w:val="16"/>
                <w:lang w:eastAsia="de-DE"/>
              </w:rPr>
            </w:pPr>
          </w:p>
        </w:tc>
      </w:tr>
      <w:tr w:rsidR="00E773E9" w:rsidRPr="00D016CE" w:rsidTr="00E773E9">
        <w:tc>
          <w:tcPr>
            <w:tcW w:w="1766"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399,00 EUR</w:t>
            </w:r>
          </w:p>
        </w:tc>
        <w:tc>
          <w:tcPr>
            <w:tcW w:w="1378"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2,3</w:t>
            </w:r>
          </w:p>
        </w:tc>
        <w:tc>
          <w:tcPr>
            <w:tcW w:w="2976" w:type="dxa"/>
            <w:tcBorders>
              <w:top w:val="single" w:sz="6" w:space="0" w:color="999999"/>
              <w:left w:val="single" w:sz="6" w:space="0" w:color="999999"/>
              <w:bottom w:val="single" w:sz="6" w:space="0" w:color="999999"/>
              <w:right w:val="single" w:sz="4"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9,18 EUR</w:t>
            </w:r>
          </w:p>
        </w:tc>
      </w:tr>
      <w:tr w:rsidR="00E773E9" w:rsidRPr="00D016CE" w:rsidTr="00E773E9">
        <w:tc>
          <w:tcPr>
            <w:tcW w:w="1766"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360,00 EUR</w:t>
            </w:r>
          </w:p>
        </w:tc>
        <w:tc>
          <w:tcPr>
            <w:tcW w:w="1378"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2,3</w:t>
            </w:r>
          </w:p>
        </w:tc>
        <w:tc>
          <w:tcPr>
            <w:tcW w:w="2976" w:type="dxa"/>
            <w:tcBorders>
              <w:top w:val="single" w:sz="6" w:space="0" w:color="999999"/>
              <w:left w:val="single" w:sz="6" w:space="0" w:color="999999"/>
              <w:bottom w:val="single" w:sz="6" w:space="0" w:color="999999"/>
              <w:right w:val="single" w:sz="4"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8,28 EUR</w:t>
            </w:r>
          </w:p>
        </w:tc>
      </w:tr>
      <w:tr w:rsidR="00E773E9" w:rsidRPr="00D016CE" w:rsidTr="00E773E9">
        <w:tc>
          <w:tcPr>
            <w:tcW w:w="1766"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320,00 EUR</w:t>
            </w:r>
          </w:p>
        </w:tc>
        <w:tc>
          <w:tcPr>
            <w:tcW w:w="1378"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2,3</w:t>
            </w:r>
          </w:p>
        </w:tc>
        <w:tc>
          <w:tcPr>
            <w:tcW w:w="2976" w:type="dxa"/>
            <w:tcBorders>
              <w:top w:val="single" w:sz="6" w:space="0" w:color="999999"/>
              <w:left w:val="single" w:sz="6" w:space="0" w:color="999999"/>
              <w:bottom w:val="single" w:sz="6" w:space="0" w:color="999999"/>
              <w:right w:val="single" w:sz="4"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7,36 EUR</w:t>
            </w:r>
          </w:p>
        </w:tc>
      </w:tr>
      <w:tr w:rsidR="00E773E9" w:rsidRPr="00D016CE" w:rsidTr="00E773E9">
        <w:tc>
          <w:tcPr>
            <w:tcW w:w="1766"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302,00 EUR</w:t>
            </w:r>
          </w:p>
        </w:tc>
        <w:tc>
          <w:tcPr>
            <w:tcW w:w="1378"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1,4</w:t>
            </w:r>
          </w:p>
        </w:tc>
        <w:tc>
          <w:tcPr>
            <w:tcW w:w="2976" w:type="dxa"/>
            <w:tcBorders>
              <w:top w:val="single" w:sz="6" w:space="0" w:color="999999"/>
              <w:left w:val="single" w:sz="6" w:space="0" w:color="999999"/>
              <w:bottom w:val="single" w:sz="6" w:space="0" w:color="999999"/>
              <w:right w:val="single" w:sz="4"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4,23 EUR</w:t>
            </w:r>
          </w:p>
        </w:tc>
      </w:tr>
      <w:tr w:rsidR="00E773E9" w:rsidRPr="00D016CE" w:rsidTr="00E773E9">
        <w:tc>
          <w:tcPr>
            <w:tcW w:w="1766"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267,00 EUR</w:t>
            </w:r>
          </w:p>
        </w:tc>
        <w:tc>
          <w:tcPr>
            <w:tcW w:w="1378" w:type="dxa"/>
            <w:tcBorders>
              <w:top w:val="single" w:sz="6" w:space="0" w:color="999999"/>
              <w:left w:val="single" w:sz="6" w:space="0" w:color="999999"/>
              <w:bottom w:val="single" w:sz="6"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1,2</w:t>
            </w:r>
          </w:p>
        </w:tc>
        <w:tc>
          <w:tcPr>
            <w:tcW w:w="2976" w:type="dxa"/>
            <w:tcBorders>
              <w:top w:val="single" w:sz="6" w:space="0" w:color="999999"/>
              <w:left w:val="single" w:sz="6" w:space="0" w:color="999999"/>
              <w:bottom w:val="single" w:sz="6" w:space="0" w:color="999999"/>
              <w:right w:val="single" w:sz="4"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3,20 EUR</w:t>
            </w:r>
          </w:p>
        </w:tc>
      </w:tr>
      <w:tr w:rsidR="00E773E9" w:rsidRPr="00D016CE" w:rsidTr="00E773E9">
        <w:tc>
          <w:tcPr>
            <w:tcW w:w="1766" w:type="dxa"/>
            <w:tcBorders>
              <w:top w:val="single" w:sz="6" w:space="0" w:color="999999"/>
              <w:left w:val="single" w:sz="6" w:space="0" w:color="999999"/>
              <w:bottom w:val="single" w:sz="4"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234,00 EUR</w:t>
            </w:r>
          </w:p>
        </w:tc>
        <w:tc>
          <w:tcPr>
            <w:tcW w:w="1378" w:type="dxa"/>
            <w:tcBorders>
              <w:top w:val="single" w:sz="6" w:space="0" w:color="999999"/>
              <w:left w:val="single" w:sz="6" w:space="0" w:color="999999"/>
              <w:bottom w:val="single" w:sz="4" w:space="0" w:color="999999"/>
              <w:right w:val="single" w:sz="6"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0,8</w:t>
            </w:r>
          </w:p>
        </w:tc>
        <w:tc>
          <w:tcPr>
            <w:tcW w:w="2976" w:type="dxa"/>
            <w:tcBorders>
              <w:top w:val="single" w:sz="6" w:space="0" w:color="999999"/>
              <w:left w:val="single" w:sz="6" w:space="0" w:color="999999"/>
              <w:bottom w:val="single" w:sz="4" w:space="0" w:color="999999"/>
              <w:right w:val="single" w:sz="4" w:space="0" w:color="999999"/>
            </w:tcBorders>
            <w:hideMark/>
          </w:tcPr>
          <w:p w:rsidR="00E773E9" w:rsidRPr="00D016CE" w:rsidRDefault="00E773E9" w:rsidP="00E82B9B">
            <w:pPr>
              <w:spacing w:before="120" w:after="120"/>
              <w:jc w:val="center"/>
              <w:rPr>
                <w:rFonts w:eastAsia="Times New Roman" w:cs="Arial"/>
                <w:sz w:val="16"/>
                <w:szCs w:val="16"/>
                <w:lang w:eastAsia="de-DE"/>
              </w:rPr>
            </w:pPr>
            <w:r w:rsidRPr="00D016CE">
              <w:rPr>
                <w:rFonts w:eastAsia="Times New Roman" w:cs="Arial"/>
                <w:sz w:val="16"/>
                <w:szCs w:val="16"/>
                <w:lang w:eastAsia="de-DE"/>
              </w:rPr>
              <w:t>1,87 EUR</w:t>
            </w:r>
          </w:p>
        </w:tc>
      </w:tr>
    </w:tbl>
    <w:p w:rsidR="00B30F56" w:rsidRPr="00D016CE" w:rsidRDefault="00B30F56" w:rsidP="00B30F56">
      <w:pPr>
        <w:rPr>
          <w:rFonts w:cs="Arial"/>
          <w:sz w:val="16"/>
          <w:szCs w:val="16"/>
        </w:rPr>
      </w:pPr>
    </w:p>
    <w:p w:rsidR="00B30F56" w:rsidRPr="00D016CE" w:rsidRDefault="00B30F56" w:rsidP="00294C30">
      <w:pPr>
        <w:jc w:val="both"/>
        <w:rPr>
          <w:b/>
          <w:sz w:val="16"/>
          <w:szCs w:val="16"/>
        </w:rPr>
      </w:pPr>
    </w:p>
    <w:p w:rsidR="00AD4601" w:rsidRPr="00D016CE" w:rsidRDefault="0057640E" w:rsidP="00AD4601">
      <w:pPr>
        <w:rPr>
          <w:rFonts w:cs="Arial"/>
          <w:b/>
          <w:sz w:val="16"/>
          <w:szCs w:val="16"/>
        </w:rPr>
      </w:pPr>
      <w:r w:rsidRPr="00D016CE">
        <w:rPr>
          <w:rFonts w:cs="Arial"/>
          <w:b/>
          <w:sz w:val="16"/>
          <w:szCs w:val="16"/>
        </w:rPr>
        <w:t xml:space="preserve">      Zeitraum 01.01.2014 – 31.12.2014</w:t>
      </w:r>
    </w:p>
    <w:p w:rsidR="00AD4601" w:rsidRPr="00D016CE" w:rsidRDefault="00AD4601" w:rsidP="00AD4601">
      <w:pPr>
        <w:rPr>
          <w:rFonts w:cs="Arial"/>
          <w:sz w:val="16"/>
          <w:szCs w:val="16"/>
        </w:rPr>
      </w:pPr>
    </w:p>
    <w:tbl>
      <w:tblPr>
        <w:tblW w:w="0" w:type="auto"/>
        <w:tblInd w:w="46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766"/>
        <w:gridCol w:w="1378"/>
        <w:gridCol w:w="2976"/>
      </w:tblGrid>
      <w:tr w:rsidR="00AD4601" w:rsidRPr="00D016CE" w:rsidTr="00AD4601">
        <w:tc>
          <w:tcPr>
            <w:tcW w:w="1766" w:type="dxa"/>
            <w:tcBorders>
              <w:top w:val="single" w:sz="4" w:space="0" w:color="999999"/>
              <w:bottom w:val="single" w:sz="6" w:space="0" w:color="999999"/>
            </w:tcBorders>
            <w:shd w:val="clear" w:color="auto" w:fill="E0E0E0"/>
          </w:tcPr>
          <w:p w:rsidR="00AD4601" w:rsidRPr="00D016CE" w:rsidRDefault="00AD4601" w:rsidP="00DD6EA0">
            <w:pPr>
              <w:jc w:val="center"/>
              <w:rPr>
                <w:rFonts w:cs="Arial"/>
                <w:sz w:val="16"/>
                <w:szCs w:val="16"/>
              </w:rPr>
            </w:pPr>
          </w:p>
          <w:p w:rsidR="00AD4601" w:rsidRPr="00D016CE" w:rsidRDefault="00AD4601" w:rsidP="00DD6EA0">
            <w:pPr>
              <w:jc w:val="center"/>
              <w:rPr>
                <w:rFonts w:cs="Arial"/>
                <w:sz w:val="16"/>
                <w:szCs w:val="16"/>
              </w:rPr>
            </w:pPr>
            <w:r w:rsidRPr="00D016CE">
              <w:rPr>
                <w:rFonts w:cs="Arial"/>
                <w:sz w:val="16"/>
                <w:szCs w:val="16"/>
              </w:rPr>
              <w:t>Regelbedarf</w:t>
            </w:r>
          </w:p>
          <w:p w:rsidR="00AD4601" w:rsidRPr="00D016CE" w:rsidRDefault="00AD4601" w:rsidP="00DD6EA0">
            <w:pPr>
              <w:jc w:val="center"/>
              <w:rPr>
                <w:rFonts w:cs="Arial"/>
                <w:sz w:val="16"/>
                <w:szCs w:val="16"/>
              </w:rPr>
            </w:pPr>
          </w:p>
        </w:tc>
        <w:tc>
          <w:tcPr>
            <w:tcW w:w="1378" w:type="dxa"/>
            <w:tcBorders>
              <w:top w:val="single" w:sz="4" w:space="0" w:color="999999"/>
              <w:bottom w:val="single" w:sz="6" w:space="0" w:color="999999"/>
            </w:tcBorders>
            <w:shd w:val="clear" w:color="auto" w:fill="E0E0E0"/>
          </w:tcPr>
          <w:p w:rsidR="00AD4601" w:rsidRPr="00D016CE" w:rsidRDefault="00AD4601" w:rsidP="00DD6EA0">
            <w:pPr>
              <w:jc w:val="center"/>
              <w:rPr>
                <w:rFonts w:cs="Arial"/>
                <w:sz w:val="16"/>
                <w:szCs w:val="16"/>
              </w:rPr>
            </w:pPr>
          </w:p>
          <w:p w:rsidR="00AD4601" w:rsidRPr="00D016CE" w:rsidRDefault="00AD4601" w:rsidP="00DD6EA0">
            <w:pPr>
              <w:jc w:val="center"/>
              <w:rPr>
                <w:rFonts w:cs="Arial"/>
                <w:sz w:val="16"/>
                <w:szCs w:val="16"/>
              </w:rPr>
            </w:pPr>
            <w:r w:rsidRPr="00D016CE">
              <w:rPr>
                <w:rFonts w:cs="Arial"/>
                <w:sz w:val="16"/>
                <w:szCs w:val="16"/>
              </w:rPr>
              <w:t>Prozentsatz für Mehrbedarf</w:t>
            </w:r>
          </w:p>
        </w:tc>
        <w:tc>
          <w:tcPr>
            <w:tcW w:w="2976" w:type="dxa"/>
            <w:tcBorders>
              <w:top w:val="single" w:sz="4" w:space="0" w:color="999999"/>
              <w:bottom w:val="single" w:sz="6" w:space="0" w:color="999999"/>
            </w:tcBorders>
            <w:shd w:val="clear" w:color="auto" w:fill="E0E0E0"/>
          </w:tcPr>
          <w:p w:rsidR="00AD4601" w:rsidRPr="00D016CE" w:rsidRDefault="00AD4601" w:rsidP="00DD6EA0">
            <w:pPr>
              <w:rPr>
                <w:rFonts w:cs="Arial"/>
                <w:sz w:val="16"/>
                <w:szCs w:val="16"/>
              </w:rPr>
            </w:pPr>
          </w:p>
          <w:p w:rsidR="00AD4601" w:rsidRPr="00D016CE" w:rsidRDefault="00AD4601" w:rsidP="00DD6EA0">
            <w:pPr>
              <w:rPr>
                <w:rFonts w:cs="Arial"/>
                <w:sz w:val="16"/>
                <w:szCs w:val="16"/>
              </w:rPr>
            </w:pPr>
            <w:r w:rsidRPr="00D016CE">
              <w:rPr>
                <w:rFonts w:cs="Arial"/>
                <w:sz w:val="16"/>
                <w:szCs w:val="16"/>
              </w:rPr>
              <w:t>Mehrbedarf bei dezentraler</w:t>
            </w:r>
          </w:p>
          <w:p w:rsidR="00AD4601" w:rsidRPr="00D016CE" w:rsidRDefault="00AD4601" w:rsidP="00DD6EA0">
            <w:pPr>
              <w:rPr>
                <w:rFonts w:cs="Arial"/>
                <w:sz w:val="16"/>
                <w:szCs w:val="16"/>
              </w:rPr>
            </w:pPr>
            <w:r w:rsidRPr="00D016CE">
              <w:rPr>
                <w:rFonts w:cs="Arial"/>
                <w:sz w:val="16"/>
                <w:szCs w:val="16"/>
              </w:rPr>
              <w:t xml:space="preserve">WW-Erzeugung </w:t>
            </w:r>
          </w:p>
          <w:p w:rsidR="00AD4601" w:rsidRPr="00D016CE" w:rsidRDefault="00AD4601" w:rsidP="00DD6EA0">
            <w:pPr>
              <w:rPr>
                <w:rFonts w:cs="Arial"/>
                <w:sz w:val="16"/>
                <w:szCs w:val="16"/>
              </w:rPr>
            </w:pPr>
            <w:r w:rsidRPr="00D016CE">
              <w:rPr>
                <w:rFonts w:cs="Arial"/>
                <w:sz w:val="16"/>
                <w:szCs w:val="16"/>
              </w:rPr>
              <w:t>bzw.</w:t>
            </w:r>
          </w:p>
          <w:p w:rsidR="00AD4601" w:rsidRPr="00D016CE" w:rsidRDefault="00AD4601" w:rsidP="00DD6EA0">
            <w:pPr>
              <w:rPr>
                <w:rFonts w:cs="Arial"/>
                <w:b/>
                <w:sz w:val="16"/>
                <w:szCs w:val="16"/>
              </w:rPr>
            </w:pPr>
            <w:r w:rsidRPr="00D016CE">
              <w:rPr>
                <w:rFonts w:cs="Arial"/>
                <w:b/>
                <w:sz w:val="16"/>
                <w:szCs w:val="16"/>
              </w:rPr>
              <w:t xml:space="preserve">Richtwert bei zentraler </w:t>
            </w:r>
          </w:p>
          <w:p w:rsidR="00AD4601" w:rsidRPr="00D016CE" w:rsidRDefault="00AD4601" w:rsidP="00DD6EA0">
            <w:pPr>
              <w:rPr>
                <w:rFonts w:cs="Arial"/>
                <w:b/>
                <w:sz w:val="16"/>
                <w:szCs w:val="16"/>
                <w:u w:val="single"/>
              </w:rPr>
            </w:pPr>
            <w:r w:rsidRPr="00D016CE">
              <w:rPr>
                <w:rFonts w:cs="Arial"/>
                <w:b/>
                <w:sz w:val="16"/>
                <w:szCs w:val="16"/>
              </w:rPr>
              <w:t>WW-Versorgung</w:t>
            </w:r>
            <w:r w:rsidRPr="00D016CE">
              <w:rPr>
                <w:rFonts w:cs="Arial"/>
                <w:b/>
                <w:sz w:val="16"/>
                <w:szCs w:val="16"/>
                <w:u w:val="single"/>
              </w:rPr>
              <w:t xml:space="preserve"> </w:t>
            </w:r>
          </w:p>
          <w:p w:rsidR="00AD4601" w:rsidRPr="00D016CE" w:rsidRDefault="00AD4601" w:rsidP="00DD6EA0">
            <w:pPr>
              <w:rPr>
                <w:rFonts w:cs="Arial"/>
                <w:sz w:val="16"/>
                <w:szCs w:val="16"/>
              </w:rPr>
            </w:pPr>
          </w:p>
        </w:tc>
      </w:tr>
      <w:tr w:rsidR="00AD4601" w:rsidRPr="00D016CE" w:rsidTr="00AD4601">
        <w:tc>
          <w:tcPr>
            <w:tcW w:w="1766" w:type="dxa"/>
            <w:tcBorders>
              <w:top w:val="single" w:sz="6" w:space="0" w:color="999999"/>
            </w:tcBorders>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391,00 EUR</w:t>
            </w:r>
          </w:p>
        </w:tc>
        <w:tc>
          <w:tcPr>
            <w:tcW w:w="1378" w:type="dxa"/>
            <w:tcBorders>
              <w:top w:val="single" w:sz="6" w:space="0" w:color="999999"/>
            </w:tcBorders>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2,3</w:t>
            </w:r>
          </w:p>
        </w:tc>
        <w:tc>
          <w:tcPr>
            <w:tcW w:w="2976" w:type="dxa"/>
            <w:tcBorders>
              <w:top w:val="single" w:sz="6" w:space="0" w:color="999999"/>
            </w:tcBorders>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8,99 EUR</w:t>
            </w:r>
          </w:p>
        </w:tc>
      </w:tr>
      <w:tr w:rsidR="00AD4601" w:rsidRPr="00D016CE" w:rsidTr="00AD4601">
        <w:tc>
          <w:tcPr>
            <w:tcW w:w="176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353,00 EUR</w:t>
            </w:r>
          </w:p>
        </w:tc>
        <w:tc>
          <w:tcPr>
            <w:tcW w:w="1378"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2,3</w:t>
            </w:r>
          </w:p>
        </w:tc>
        <w:tc>
          <w:tcPr>
            <w:tcW w:w="297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8,12 EUR</w:t>
            </w:r>
          </w:p>
        </w:tc>
      </w:tr>
      <w:tr w:rsidR="00AD4601" w:rsidRPr="00D016CE" w:rsidTr="00AD4601">
        <w:tc>
          <w:tcPr>
            <w:tcW w:w="176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313,00 EUR</w:t>
            </w:r>
          </w:p>
        </w:tc>
        <w:tc>
          <w:tcPr>
            <w:tcW w:w="1378"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2,3</w:t>
            </w:r>
          </w:p>
        </w:tc>
        <w:tc>
          <w:tcPr>
            <w:tcW w:w="297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7,20 EUR</w:t>
            </w:r>
          </w:p>
        </w:tc>
      </w:tr>
      <w:tr w:rsidR="00AD4601" w:rsidRPr="00D016CE" w:rsidTr="00AD4601">
        <w:tc>
          <w:tcPr>
            <w:tcW w:w="176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296,00 EUR</w:t>
            </w:r>
          </w:p>
        </w:tc>
        <w:tc>
          <w:tcPr>
            <w:tcW w:w="1378"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1,4</w:t>
            </w:r>
          </w:p>
        </w:tc>
        <w:tc>
          <w:tcPr>
            <w:tcW w:w="297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4,14 EUR</w:t>
            </w:r>
          </w:p>
        </w:tc>
      </w:tr>
      <w:tr w:rsidR="00AD4601" w:rsidRPr="00D016CE" w:rsidTr="00AD4601">
        <w:tc>
          <w:tcPr>
            <w:tcW w:w="176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261,00 EUR</w:t>
            </w:r>
          </w:p>
        </w:tc>
        <w:tc>
          <w:tcPr>
            <w:tcW w:w="1378"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1,2</w:t>
            </w:r>
          </w:p>
        </w:tc>
        <w:tc>
          <w:tcPr>
            <w:tcW w:w="297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3,13 EUR</w:t>
            </w:r>
          </w:p>
        </w:tc>
      </w:tr>
      <w:tr w:rsidR="00AD4601" w:rsidRPr="00D016CE" w:rsidTr="00AD4601">
        <w:tc>
          <w:tcPr>
            <w:tcW w:w="176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229,00 EUR</w:t>
            </w:r>
          </w:p>
        </w:tc>
        <w:tc>
          <w:tcPr>
            <w:tcW w:w="1378"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0,8</w:t>
            </w:r>
          </w:p>
        </w:tc>
        <w:tc>
          <w:tcPr>
            <w:tcW w:w="2976" w:type="dxa"/>
            <w:shd w:val="clear" w:color="auto" w:fill="auto"/>
          </w:tcPr>
          <w:p w:rsidR="00AD4601" w:rsidRPr="00D016CE" w:rsidRDefault="00AD4601" w:rsidP="00DD6EA0">
            <w:pPr>
              <w:spacing w:before="120" w:after="120"/>
              <w:jc w:val="center"/>
              <w:rPr>
                <w:rFonts w:cs="Arial"/>
                <w:sz w:val="16"/>
                <w:szCs w:val="16"/>
              </w:rPr>
            </w:pPr>
            <w:r w:rsidRPr="00D016CE">
              <w:rPr>
                <w:rFonts w:cs="Arial"/>
                <w:sz w:val="16"/>
                <w:szCs w:val="16"/>
              </w:rPr>
              <w:t>1,83 EUR</w:t>
            </w:r>
          </w:p>
        </w:tc>
      </w:tr>
    </w:tbl>
    <w:p w:rsidR="00AD4601" w:rsidRPr="00294C30" w:rsidRDefault="00AD4601" w:rsidP="00D016CE">
      <w:pPr>
        <w:jc w:val="both"/>
        <w:rPr>
          <w:b/>
        </w:rPr>
      </w:pPr>
    </w:p>
    <w:sectPr w:rsidR="00AD4601" w:rsidRPr="00294C30" w:rsidSect="005660C2">
      <w:headerReference w:type="default" r:id="rId11"/>
      <w:footerReference w:type="default" r:id="rId12"/>
      <w:pgSz w:w="11906" w:h="16838"/>
      <w:pgMar w:top="1417" w:right="1417" w:bottom="1134" w:left="1417" w:header="708" w:footer="8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DD6" w:rsidRDefault="005E5DD6" w:rsidP="005660C2">
      <w:r>
        <w:separator/>
      </w:r>
    </w:p>
  </w:endnote>
  <w:endnote w:type="continuationSeparator" w:id="0">
    <w:p w:rsidR="005E5DD6" w:rsidRDefault="005E5DD6" w:rsidP="0056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AD" w:rsidRDefault="005E5DD6">
    <w:pPr>
      <w:pStyle w:val="Fuzeile"/>
      <w:rPr>
        <w:color w:val="000000" w:themeColor="text1"/>
        <w:sz w:val="24"/>
        <w:szCs w:val="24"/>
      </w:rPr>
    </w:pPr>
    <w:sdt>
      <w:sdtPr>
        <w:rPr>
          <w:color w:val="000000" w:themeColor="text1"/>
          <w:sz w:val="24"/>
          <w:szCs w:val="24"/>
        </w:rPr>
        <w:alias w:val="Autor"/>
        <w:id w:val="54214575"/>
        <w:placeholder>
          <w:docPart w:val="8C2398386C104BBFB13C34F85F7BC8D7"/>
        </w:placeholder>
        <w:dataBinding w:prefixMappings="xmlns:ns0='http://schemas.openxmlformats.org/package/2006/metadata/core-properties' xmlns:ns1='http://purl.org/dc/elements/1.1/'" w:xpath="/ns0:coreProperties[1]/ns1:creator[1]" w:storeItemID="{6C3C8BC8-F283-45AE-878A-BAB7291924A1}"/>
        <w:text/>
      </w:sdtPr>
      <w:sdtEndPr/>
      <w:sdtContent>
        <w:r w:rsidR="009047AD">
          <w:rPr>
            <w:color w:val="000000" w:themeColor="text1"/>
            <w:sz w:val="24"/>
            <w:szCs w:val="24"/>
          </w:rPr>
          <w:t>Jobcenter Passau Land</w:t>
        </w:r>
      </w:sdtContent>
    </w:sdt>
  </w:p>
  <w:p w:rsidR="009047AD" w:rsidRDefault="009047AD">
    <w:pPr>
      <w:pStyle w:val="Fuzeile"/>
    </w:pPr>
    <w:r>
      <w:rPr>
        <w:noProof/>
        <w:lang w:eastAsia="de-DE"/>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feld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047AD" w:rsidRPr="006627B1" w:rsidRDefault="009047AD">
                          <w:pPr>
                            <w:pStyle w:val="Fuzeile"/>
                            <w:jc w:val="right"/>
                            <w:rPr>
                              <w:rFonts w:cs="Arial"/>
                              <w:color w:val="000000" w:themeColor="text1"/>
                            </w:rPr>
                          </w:pPr>
                          <w:r w:rsidRPr="006627B1">
                            <w:rPr>
                              <w:rFonts w:cs="Arial"/>
                              <w:color w:val="000000" w:themeColor="text1"/>
                            </w:rPr>
                            <w:fldChar w:fldCharType="begin"/>
                          </w:r>
                          <w:r w:rsidRPr="006627B1">
                            <w:rPr>
                              <w:rFonts w:cs="Arial"/>
                              <w:color w:val="000000" w:themeColor="text1"/>
                            </w:rPr>
                            <w:instrText>PAGE  \* Arabic  \* MERGEFORMAT</w:instrText>
                          </w:r>
                          <w:r w:rsidRPr="006627B1">
                            <w:rPr>
                              <w:rFonts w:cs="Arial"/>
                              <w:color w:val="000000" w:themeColor="text1"/>
                            </w:rPr>
                            <w:fldChar w:fldCharType="separate"/>
                          </w:r>
                          <w:r w:rsidR="00717CCD">
                            <w:rPr>
                              <w:rFonts w:cs="Arial"/>
                              <w:noProof/>
                              <w:color w:val="000000" w:themeColor="text1"/>
                            </w:rPr>
                            <w:t>1</w:t>
                          </w:r>
                          <w:r w:rsidRPr="006627B1">
                            <w:rPr>
                              <w:rFonts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Dw7nNBNgIAAGEEAAAOAAAAAAAAAAAAAAAAAC4C&#10;AABkcnMvZTJvRG9jLnhtbFBLAQItABQABgAIAAAAIQA4sBLD2QAAAAQBAAAPAAAAAAAAAAAAAAAA&#10;AJAEAABkcnMvZG93bnJldi54bWxQSwUGAAAAAAQABADzAAAAlgUAAAAA&#10;" filled="f" stroked="f" strokeweight=".5pt">
              <v:textbox style="mso-fit-shape-to-text:t">
                <w:txbxContent>
                  <w:p w:rsidR="009047AD" w:rsidRPr="006627B1" w:rsidRDefault="009047AD">
                    <w:pPr>
                      <w:pStyle w:val="Fuzeile"/>
                      <w:jc w:val="right"/>
                      <w:rPr>
                        <w:rFonts w:cs="Arial"/>
                        <w:color w:val="000000" w:themeColor="text1"/>
                      </w:rPr>
                    </w:pPr>
                    <w:r w:rsidRPr="006627B1">
                      <w:rPr>
                        <w:rFonts w:cs="Arial"/>
                        <w:color w:val="000000" w:themeColor="text1"/>
                      </w:rPr>
                      <w:fldChar w:fldCharType="begin"/>
                    </w:r>
                    <w:r w:rsidRPr="006627B1">
                      <w:rPr>
                        <w:rFonts w:cs="Arial"/>
                        <w:color w:val="000000" w:themeColor="text1"/>
                      </w:rPr>
                      <w:instrText>PAGE  \* Arabic  \* MERGEFORMAT</w:instrText>
                    </w:r>
                    <w:r w:rsidRPr="006627B1">
                      <w:rPr>
                        <w:rFonts w:cs="Arial"/>
                        <w:color w:val="000000" w:themeColor="text1"/>
                      </w:rPr>
                      <w:fldChar w:fldCharType="separate"/>
                    </w:r>
                    <w:r w:rsidR="00717CCD">
                      <w:rPr>
                        <w:rFonts w:cs="Arial"/>
                        <w:noProof/>
                        <w:color w:val="000000" w:themeColor="text1"/>
                      </w:rPr>
                      <w:t>1</w:t>
                    </w:r>
                    <w:r w:rsidRPr="006627B1">
                      <w:rPr>
                        <w:rFonts w:cs="Arial"/>
                        <w:color w:val="000000" w:themeColor="text1"/>
                      </w:rPr>
                      <w:fldChar w:fldCharType="end"/>
                    </w:r>
                  </w:p>
                </w:txbxContent>
              </v:textbox>
              <w10:wrap anchorx="margin" anchory="margin"/>
            </v:shape>
          </w:pict>
        </mc:Fallback>
      </mc:AlternateContent>
    </w:r>
    <w:r>
      <w:rPr>
        <w:noProof/>
        <w:color w:val="4F81BD" w:themeColor="accent1"/>
        <w:lang w:eastAsia="de-DE"/>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1905"/>
              <wp:wrapSquare wrapText="bothSides"/>
              <wp:docPr id="58" name="Rechteck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B1C66D7" id="Rechtec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" fillcolor="green"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DD6" w:rsidRDefault="005E5DD6" w:rsidP="005660C2">
      <w:r>
        <w:separator/>
      </w:r>
    </w:p>
  </w:footnote>
  <w:footnote w:type="continuationSeparator" w:id="0">
    <w:p w:rsidR="005E5DD6" w:rsidRDefault="005E5DD6" w:rsidP="0056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7AD" w:rsidRDefault="009047AD">
    <w:pPr>
      <w:pStyle w:val="Kopfzeile"/>
    </w:pPr>
  </w:p>
  <w:p w:rsidR="009047AD" w:rsidRDefault="009047AD">
    <w:pPr>
      <w:pStyle w:val="Kopfzeile"/>
    </w:pPr>
  </w:p>
  <w:p w:rsidR="009047AD" w:rsidRDefault="009047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15:restartNumberingAfterBreak="0">
    <w:nsid w:val="00FB4A07"/>
    <w:multiLevelType w:val="multilevel"/>
    <w:tmpl w:val="654A606E"/>
    <w:lvl w:ilvl="0">
      <w:start w:val="1"/>
      <w:numFmt w:val="decimal"/>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862" w:hanging="720"/>
      </w:pPr>
    </w:lvl>
    <w:lvl w:ilvl="3">
      <w:start w:val="1"/>
      <w:numFmt w:val="decimal"/>
      <w:pStyle w:val="berschrift4"/>
      <w:lvlText w:val="%1.%2.%3.%4"/>
      <w:lvlJc w:val="left"/>
      <w:pPr>
        <w:ind w:left="1715"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5A24E06"/>
    <w:multiLevelType w:val="hybridMultilevel"/>
    <w:tmpl w:val="EDD6B55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5" w15:restartNumberingAfterBreak="0">
    <w:nsid w:val="0F3E7869"/>
    <w:multiLevelType w:val="hybridMultilevel"/>
    <w:tmpl w:val="A9AA8E88"/>
    <w:lvl w:ilvl="0" w:tplc="0694D1F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12076E"/>
    <w:multiLevelType w:val="multilevel"/>
    <w:tmpl w:val="422CFC96"/>
    <w:lvl w:ilvl="0">
      <w:start w:val="1"/>
      <w:numFmt w:val="decimal"/>
      <w:lvlText w:val="%1."/>
      <w:lvlJc w:val="left"/>
      <w:pPr>
        <w:ind w:left="1080" w:hanging="720"/>
      </w:pPr>
      <w:rPr>
        <w:rFonts w:hint="default"/>
      </w:rPr>
    </w:lvl>
    <w:lvl w:ilvl="1">
      <w:start w:val="6"/>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D36062"/>
    <w:multiLevelType w:val="hybridMultilevel"/>
    <w:tmpl w:val="B162B2BA"/>
    <w:lvl w:ilvl="0" w:tplc="C8CE11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A01D16"/>
    <w:multiLevelType w:val="multilevel"/>
    <w:tmpl w:val="7250D052"/>
    <w:lvl w:ilvl="0">
      <w:start w:val="1"/>
      <w:numFmt w:val="decimal"/>
      <w:lvlText w:val="%1."/>
      <w:lvlJc w:val="left"/>
      <w:pPr>
        <w:ind w:left="928"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EA65E6"/>
    <w:multiLevelType w:val="hybridMultilevel"/>
    <w:tmpl w:val="FA56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6B2DE8"/>
    <w:multiLevelType w:val="multilevel"/>
    <w:tmpl w:val="9A48424E"/>
    <w:lvl w:ilvl="0">
      <w:start w:val="1"/>
      <w:numFmt w:val="upperRoman"/>
      <w:lvlText w:val="%1."/>
      <w:lvlJc w:val="left"/>
      <w:pPr>
        <w:ind w:left="1080" w:hanging="72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1"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12" w15:restartNumberingAfterBreak="0">
    <w:nsid w:val="43D334BD"/>
    <w:multiLevelType w:val="hybridMultilevel"/>
    <w:tmpl w:val="C0C4C6C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D8199A"/>
    <w:multiLevelType w:val="hybridMultilevel"/>
    <w:tmpl w:val="E6A4B96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15" w15:restartNumberingAfterBreak="0">
    <w:nsid w:val="583F3326"/>
    <w:multiLevelType w:val="hybridMultilevel"/>
    <w:tmpl w:val="7A6E696E"/>
    <w:lvl w:ilvl="0" w:tplc="0694D1F8">
      <w:start w:val="1"/>
      <w:numFmt w:val="bullet"/>
      <w:lvlText w:val="-"/>
      <w:lvlJc w:val="left"/>
      <w:pPr>
        <w:ind w:left="1260" w:hanging="360"/>
      </w:pPr>
      <w:rPr>
        <w:rFonts w:ascii="Arial" w:eastAsiaTheme="minorHAnsi" w:hAnsi="Arial" w:cs="Aria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6" w15:restartNumberingAfterBreak="0">
    <w:nsid w:val="599447C3"/>
    <w:multiLevelType w:val="multilevel"/>
    <w:tmpl w:val="A69C2CB0"/>
    <w:lvl w:ilvl="0">
      <w:start w:val="1"/>
      <w:numFmt w:val="decimal"/>
      <w:lvlText w:val="%1."/>
      <w:lvlJc w:val="left"/>
      <w:pPr>
        <w:ind w:left="114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540" w:hanging="1800"/>
      </w:pPr>
      <w:rPr>
        <w:rFonts w:hint="default"/>
      </w:rPr>
    </w:lvl>
  </w:abstractNum>
  <w:abstractNum w:abstractNumId="17" w15:restartNumberingAfterBreak="0">
    <w:nsid w:val="5A0D5D90"/>
    <w:multiLevelType w:val="hybridMultilevel"/>
    <w:tmpl w:val="4EB03D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05E3B69"/>
    <w:multiLevelType w:val="hybridMultilevel"/>
    <w:tmpl w:val="EC3656E2"/>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0E779A"/>
    <w:multiLevelType w:val="hybridMultilevel"/>
    <w:tmpl w:val="B1163D00"/>
    <w:lvl w:ilvl="0" w:tplc="222E807C">
      <w:start w:val="1"/>
      <w:numFmt w:val="decimal"/>
      <w:lvlText w:val="%1."/>
      <w:lvlJc w:val="left"/>
      <w:pPr>
        <w:ind w:left="1004"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906E5D"/>
    <w:multiLevelType w:val="hybridMultilevel"/>
    <w:tmpl w:val="B44437F6"/>
    <w:lvl w:ilvl="0" w:tplc="2AB4BDE8">
      <w:start w:val="1"/>
      <w:numFmt w:val="decimal"/>
      <w:lvlText w:val="%1."/>
      <w:lvlJc w:val="left"/>
      <w:pPr>
        <w:ind w:left="1035" w:hanging="360"/>
      </w:pPr>
      <w:rPr>
        <w:rFonts w:hint="default"/>
        <w:color w:val="auto"/>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21" w15:restartNumberingAfterBreak="0">
    <w:nsid w:val="6A784E1B"/>
    <w:multiLevelType w:val="hybridMultilevel"/>
    <w:tmpl w:val="1682FF0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1703F2"/>
    <w:multiLevelType w:val="multilevel"/>
    <w:tmpl w:val="1F7C2FB8"/>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C681860"/>
    <w:multiLevelType w:val="hybridMultilevel"/>
    <w:tmpl w:val="A32A31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2E454D"/>
    <w:multiLevelType w:val="hybridMultilevel"/>
    <w:tmpl w:val="A32EB766"/>
    <w:lvl w:ilvl="0" w:tplc="04070001">
      <w:start w:val="1"/>
      <w:numFmt w:val="bullet"/>
      <w:lvlText w:val=""/>
      <w:lvlJc w:val="left"/>
      <w:pPr>
        <w:ind w:left="1121" w:hanging="360"/>
      </w:pPr>
      <w:rPr>
        <w:rFonts w:ascii="Symbol" w:hAnsi="Symbol" w:hint="default"/>
      </w:rPr>
    </w:lvl>
    <w:lvl w:ilvl="1" w:tplc="04070003" w:tentative="1">
      <w:start w:val="1"/>
      <w:numFmt w:val="bullet"/>
      <w:lvlText w:val="o"/>
      <w:lvlJc w:val="left"/>
      <w:pPr>
        <w:ind w:left="1841" w:hanging="360"/>
      </w:pPr>
      <w:rPr>
        <w:rFonts w:ascii="Courier New" w:hAnsi="Courier New" w:cs="Courier New" w:hint="default"/>
      </w:rPr>
    </w:lvl>
    <w:lvl w:ilvl="2" w:tplc="04070005" w:tentative="1">
      <w:start w:val="1"/>
      <w:numFmt w:val="bullet"/>
      <w:lvlText w:val=""/>
      <w:lvlJc w:val="left"/>
      <w:pPr>
        <w:ind w:left="2561" w:hanging="360"/>
      </w:pPr>
      <w:rPr>
        <w:rFonts w:ascii="Wingdings" w:hAnsi="Wingdings" w:hint="default"/>
      </w:rPr>
    </w:lvl>
    <w:lvl w:ilvl="3" w:tplc="04070001" w:tentative="1">
      <w:start w:val="1"/>
      <w:numFmt w:val="bullet"/>
      <w:lvlText w:val=""/>
      <w:lvlJc w:val="left"/>
      <w:pPr>
        <w:ind w:left="3281" w:hanging="360"/>
      </w:pPr>
      <w:rPr>
        <w:rFonts w:ascii="Symbol" w:hAnsi="Symbol" w:hint="default"/>
      </w:rPr>
    </w:lvl>
    <w:lvl w:ilvl="4" w:tplc="04070003" w:tentative="1">
      <w:start w:val="1"/>
      <w:numFmt w:val="bullet"/>
      <w:lvlText w:val="o"/>
      <w:lvlJc w:val="left"/>
      <w:pPr>
        <w:ind w:left="4001" w:hanging="360"/>
      </w:pPr>
      <w:rPr>
        <w:rFonts w:ascii="Courier New" w:hAnsi="Courier New" w:cs="Courier New" w:hint="default"/>
      </w:rPr>
    </w:lvl>
    <w:lvl w:ilvl="5" w:tplc="04070005" w:tentative="1">
      <w:start w:val="1"/>
      <w:numFmt w:val="bullet"/>
      <w:lvlText w:val=""/>
      <w:lvlJc w:val="left"/>
      <w:pPr>
        <w:ind w:left="4721" w:hanging="360"/>
      </w:pPr>
      <w:rPr>
        <w:rFonts w:ascii="Wingdings" w:hAnsi="Wingdings" w:hint="default"/>
      </w:rPr>
    </w:lvl>
    <w:lvl w:ilvl="6" w:tplc="04070001" w:tentative="1">
      <w:start w:val="1"/>
      <w:numFmt w:val="bullet"/>
      <w:lvlText w:val=""/>
      <w:lvlJc w:val="left"/>
      <w:pPr>
        <w:ind w:left="5441" w:hanging="360"/>
      </w:pPr>
      <w:rPr>
        <w:rFonts w:ascii="Symbol" w:hAnsi="Symbol" w:hint="default"/>
      </w:rPr>
    </w:lvl>
    <w:lvl w:ilvl="7" w:tplc="04070003" w:tentative="1">
      <w:start w:val="1"/>
      <w:numFmt w:val="bullet"/>
      <w:lvlText w:val="o"/>
      <w:lvlJc w:val="left"/>
      <w:pPr>
        <w:ind w:left="6161" w:hanging="360"/>
      </w:pPr>
      <w:rPr>
        <w:rFonts w:ascii="Courier New" w:hAnsi="Courier New" w:cs="Courier New" w:hint="default"/>
      </w:rPr>
    </w:lvl>
    <w:lvl w:ilvl="8" w:tplc="04070005" w:tentative="1">
      <w:start w:val="1"/>
      <w:numFmt w:val="bullet"/>
      <w:lvlText w:val=""/>
      <w:lvlJc w:val="left"/>
      <w:pPr>
        <w:ind w:left="6881" w:hanging="360"/>
      </w:pPr>
      <w:rPr>
        <w:rFonts w:ascii="Wingdings" w:hAnsi="Wingdings" w:hint="default"/>
      </w:rPr>
    </w:lvl>
  </w:abstractNum>
  <w:abstractNum w:abstractNumId="25" w15:restartNumberingAfterBreak="0">
    <w:nsid w:val="6D5767BA"/>
    <w:multiLevelType w:val="multilevel"/>
    <w:tmpl w:val="0994D3A2"/>
    <w:lvl w:ilvl="0">
      <w:start w:val="1"/>
      <w:numFmt w:val="decimal"/>
      <w:lvlText w:val="%1."/>
      <w:lvlJc w:val="left"/>
      <w:pPr>
        <w:ind w:left="1070" w:hanging="360"/>
      </w:pPr>
      <w:rPr>
        <w:rFonts w:hint="default"/>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6" w15:restartNumberingAfterBreak="0">
    <w:nsid w:val="6E241AF4"/>
    <w:multiLevelType w:val="hybridMultilevel"/>
    <w:tmpl w:val="68863690"/>
    <w:lvl w:ilvl="0" w:tplc="DFE270E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C00A96"/>
    <w:multiLevelType w:val="hybridMultilevel"/>
    <w:tmpl w:val="9BAC9382"/>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9F3A53"/>
    <w:multiLevelType w:val="hybridMultilevel"/>
    <w:tmpl w:val="6E52E378"/>
    <w:lvl w:ilvl="0" w:tplc="1B34E1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190FC3"/>
    <w:multiLevelType w:val="hybridMultilevel"/>
    <w:tmpl w:val="A0264A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D738EE"/>
    <w:multiLevelType w:val="multilevel"/>
    <w:tmpl w:val="173E00C0"/>
    <w:lvl w:ilvl="0">
      <w:start w:val="1"/>
      <w:numFmt w:val="upperRoman"/>
      <w:pStyle w:val="berschrift1"/>
      <w:lvlText w:val="%1."/>
      <w:lvlJc w:val="left"/>
      <w:pPr>
        <w:ind w:left="1080" w:hanging="72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621D66"/>
    <w:multiLevelType w:val="hybridMultilevel"/>
    <w:tmpl w:val="58C863E6"/>
    <w:lvl w:ilvl="0" w:tplc="77CEC0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2E792E"/>
    <w:multiLevelType w:val="hybridMultilevel"/>
    <w:tmpl w:val="BC882F52"/>
    <w:lvl w:ilvl="0" w:tplc="AC48B47E">
      <w:start w:val="1"/>
      <w:numFmt w:val="decimal"/>
      <w:lvlText w:val="%1."/>
      <w:lvlJc w:val="left"/>
      <w:pPr>
        <w:ind w:left="862" w:hanging="720"/>
      </w:pPr>
      <w:rPr>
        <w:rFonts w:hint="default"/>
        <w:color w:val="auto"/>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14"/>
  </w:num>
  <w:num w:numId="2">
    <w:abstractNumId w:val="11"/>
  </w:num>
  <w:num w:numId="3">
    <w:abstractNumId w:val="2"/>
  </w:num>
  <w:num w:numId="4">
    <w:abstractNumId w:val="1"/>
  </w:num>
  <w:num w:numId="5">
    <w:abstractNumId w:val="0"/>
  </w:num>
  <w:num w:numId="6">
    <w:abstractNumId w:val="10"/>
  </w:num>
  <w:num w:numId="7">
    <w:abstractNumId w:val="25"/>
  </w:num>
  <w:num w:numId="8">
    <w:abstractNumId w:val="5"/>
  </w:num>
  <w:num w:numId="9">
    <w:abstractNumId w:val="15"/>
  </w:num>
  <w:num w:numId="10">
    <w:abstractNumId w:val="29"/>
  </w:num>
  <w:num w:numId="11">
    <w:abstractNumId w:val="20"/>
  </w:num>
  <w:num w:numId="12">
    <w:abstractNumId w:val="16"/>
  </w:num>
  <w:num w:numId="13">
    <w:abstractNumId w:val="9"/>
  </w:num>
  <w:num w:numId="14">
    <w:abstractNumId w:val="30"/>
  </w:num>
  <w:num w:numId="15">
    <w:abstractNumId w:val="22"/>
  </w:num>
  <w:num w:numId="16">
    <w:abstractNumId w:val="8"/>
  </w:num>
  <w:num w:numId="17">
    <w:abstractNumId w:val="3"/>
  </w:num>
  <w:num w:numId="18">
    <w:abstractNumId w:val="30"/>
    <w:lvlOverride w:ilvl="0">
      <w:startOverride w:val="2"/>
    </w:lvlOverride>
  </w:num>
  <w:num w:numId="19">
    <w:abstractNumId w:val="6"/>
  </w:num>
  <w:num w:numId="20">
    <w:abstractNumId w:val="26"/>
  </w:num>
  <w:num w:numId="21">
    <w:abstractNumId w:val="19"/>
  </w:num>
  <w:num w:numId="22">
    <w:abstractNumId w:val="32"/>
  </w:num>
  <w:num w:numId="23">
    <w:abstractNumId w:val="7"/>
  </w:num>
  <w:num w:numId="24">
    <w:abstractNumId w:val="28"/>
  </w:num>
  <w:num w:numId="25">
    <w:abstractNumId w:val="17"/>
  </w:num>
  <w:num w:numId="26">
    <w:abstractNumId w:val="13"/>
  </w:num>
  <w:num w:numId="27">
    <w:abstractNumId w:val="12"/>
  </w:num>
  <w:num w:numId="28">
    <w:abstractNumId w:val="31"/>
  </w:num>
  <w:num w:numId="29">
    <w:abstractNumId w:val="23"/>
  </w:num>
  <w:num w:numId="30">
    <w:abstractNumId w:val="4"/>
  </w:num>
  <w:num w:numId="31">
    <w:abstractNumId w:val="18"/>
  </w:num>
  <w:num w:numId="32">
    <w:abstractNumId w:val="24"/>
  </w:num>
  <w:num w:numId="33">
    <w:abstractNumId w:val="27"/>
  </w:num>
  <w:num w:numId="3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A6"/>
    <w:rsid w:val="0000283E"/>
    <w:rsid w:val="00004003"/>
    <w:rsid w:val="00004FA4"/>
    <w:rsid w:val="000106A2"/>
    <w:rsid w:val="00012B25"/>
    <w:rsid w:val="000145FC"/>
    <w:rsid w:val="000149A7"/>
    <w:rsid w:val="000177AE"/>
    <w:rsid w:val="00020FB7"/>
    <w:rsid w:val="00021B33"/>
    <w:rsid w:val="000233E4"/>
    <w:rsid w:val="00024EDC"/>
    <w:rsid w:val="00025A59"/>
    <w:rsid w:val="00025D57"/>
    <w:rsid w:val="000269B1"/>
    <w:rsid w:val="000309FD"/>
    <w:rsid w:val="000338BD"/>
    <w:rsid w:val="0003468F"/>
    <w:rsid w:val="0003661D"/>
    <w:rsid w:val="00037332"/>
    <w:rsid w:val="00040ED7"/>
    <w:rsid w:val="00041C86"/>
    <w:rsid w:val="00042170"/>
    <w:rsid w:val="000427C0"/>
    <w:rsid w:val="00042A4B"/>
    <w:rsid w:val="00042BF6"/>
    <w:rsid w:val="0004441F"/>
    <w:rsid w:val="000503B9"/>
    <w:rsid w:val="00055E1B"/>
    <w:rsid w:val="00056703"/>
    <w:rsid w:val="0005764A"/>
    <w:rsid w:val="00061170"/>
    <w:rsid w:val="00065118"/>
    <w:rsid w:val="0006634F"/>
    <w:rsid w:val="00070F78"/>
    <w:rsid w:val="00071232"/>
    <w:rsid w:val="00073379"/>
    <w:rsid w:val="00073A36"/>
    <w:rsid w:val="00074786"/>
    <w:rsid w:val="00075A6D"/>
    <w:rsid w:val="00077954"/>
    <w:rsid w:val="00080049"/>
    <w:rsid w:val="000832C8"/>
    <w:rsid w:val="00084AD9"/>
    <w:rsid w:val="000910A4"/>
    <w:rsid w:val="000919E8"/>
    <w:rsid w:val="000934B5"/>
    <w:rsid w:val="00094967"/>
    <w:rsid w:val="00097D48"/>
    <w:rsid w:val="000A19DE"/>
    <w:rsid w:val="000A34FB"/>
    <w:rsid w:val="000A67B0"/>
    <w:rsid w:val="000B0ADA"/>
    <w:rsid w:val="000B3DF0"/>
    <w:rsid w:val="000B3EAA"/>
    <w:rsid w:val="000B4A9A"/>
    <w:rsid w:val="000C316A"/>
    <w:rsid w:val="000D2C99"/>
    <w:rsid w:val="000D442B"/>
    <w:rsid w:val="000D6446"/>
    <w:rsid w:val="000F0408"/>
    <w:rsid w:val="000F0AF9"/>
    <w:rsid w:val="000F268D"/>
    <w:rsid w:val="000F406B"/>
    <w:rsid w:val="000F62D8"/>
    <w:rsid w:val="0010355B"/>
    <w:rsid w:val="00103608"/>
    <w:rsid w:val="001037FE"/>
    <w:rsid w:val="0010417D"/>
    <w:rsid w:val="001042A4"/>
    <w:rsid w:val="00105002"/>
    <w:rsid w:val="00106249"/>
    <w:rsid w:val="0012351F"/>
    <w:rsid w:val="00124E98"/>
    <w:rsid w:val="00131DA9"/>
    <w:rsid w:val="00141218"/>
    <w:rsid w:val="00142AE9"/>
    <w:rsid w:val="0014608F"/>
    <w:rsid w:val="00151700"/>
    <w:rsid w:val="0015210C"/>
    <w:rsid w:val="001525BA"/>
    <w:rsid w:val="00152E52"/>
    <w:rsid w:val="001543E8"/>
    <w:rsid w:val="0015589E"/>
    <w:rsid w:val="00167CB3"/>
    <w:rsid w:val="00174208"/>
    <w:rsid w:val="00175507"/>
    <w:rsid w:val="0017787D"/>
    <w:rsid w:val="00180E94"/>
    <w:rsid w:val="00182E14"/>
    <w:rsid w:val="00183AE3"/>
    <w:rsid w:val="00184EE5"/>
    <w:rsid w:val="00185D98"/>
    <w:rsid w:val="00187208"/>
    <w:rsid w:val="00195AB1"/>
    <w:rsid w:val="00196447"/>
    <w:rsid w:val="001A0C20"/>
    <w:rsid w:val="001A47A1"/>
    <w:rsid w:val="001A5C3F"/>
    <w:rsid w:val="001A68E6"/>
    <w:rsid w:val="001B3AAB"/>
    <w:rsid w:val="001B5CDA"/>
    <w:rsid w:val="001B7BF2"/>
    <w:rsid w:val="001C6EFB"/>
    <w:rsid w:val="001C7144"/>
    <w:rsid w:val="001C733C"/>
    <w:rsid w:val="001D2AF9"/>
    <w:rsid w:val="001E17B5"/>
    <w:rsid w:val="001E4595"/>
    <w:rsid w:val="001E5E3E"/>
    <w:rsid w:val="001F3035"/>
    <w:rsid w:val="001F6E00"/>
    <w:rsid w:val="0020399A"/>
    <w:rsid w:val="00203B5A"/>
    <w:rsid w:val="002054FC"/>
    <w:rsid w:val="00207722"/>
    <w:rsid w:val="002100F4"/>
    <w:rsid w:val="002104DC"/>
    <w:rsid w:val="00213C9B"/>
    <w:rsid w:val="002151AD"/>
    <w:rsid w:val="002155B6"/>
    <w:rsid w:val="0022733D"/>
    <w:rsid w:val="0023311D"/>
    <w:rsid w:val="00234249"/>
    <w:rsid w:val="002344D0"/>
    <w:rsid w:val="00241119"/>
    <w:rsid w:val="002431AE"/>
    <w:rsid w:val="0024375F"/>
    <w:rsid w:val="00244CD1"/>
    <w:rsid w:val="002469FF"/>
    <w:rsid w:val="00247697"/>
    <w:rsid w:val="00251489"/>
    <w:rsid w:val="002520CE"/>
    <w:rsid w:val="00263544"/>
    <w:rsid w:val="00266F28"/>
    <w:rsid w:val="00270636"/>
    <w:rsid w:val="00273BC6"/>
    <w:rsid w:val="00286130"/>
    <w:rsid w:val="00287E31"/>
    <w:rsid w:val="00294C30"/>
    <w:rsid w:val="0029619B"/>
    <w:rsid w:val="00297ED4"/>
    <w:rsid w:val="002A2DDC"/>
    <w:rsid w:val="002A5F80"/>
    <w:rsid w:val="002A7755"/>
    <w:rsid w:val="002B2883"/>
    <w:rsid w:val="002B54C2"/>
    <w:rsid w:val="002C0C6F"/>
    <w:rsid w:val="002C28BF"/>
    <w:rsid w:val="002C2AB2"/>
    <w:rsid w:val="002C3A07"/>
    <w:rsid w:val="002D06B2"/>
    <w:rsid w:val="002D08BF"/>
    <w:rsid w:val="002D1587"/>
    <w:rsid w:val="002D1A55"/>
    <w:rsid w:val="002D2023"/>
    <w:rsid w:val="002D21C7"/>
    <w:rsid w:val="002E02BC"/>
    <w:rsid w:val="002E1110"/>
    <w:rsid w:val="002E3A3C"/>
    <w:rsid w:val="002E4D9F"/>
    <w:rsid w:val="002E5701"/>
    <w:rsid w:val="002F26BC"/>
    <w:rsid w:val="00311E5A"/>
    <w:rsid w:val="003121F3"/>
    <w:rsid w:val="003124F7"/>
    <w:rsid w:val="003127CA"/>
    <w:rsid w:val="00312F80"/>
    <w:rsid w:val="00315AB4"/>
    <w:rsid w:val="00315E68"/>
    <w:rsid w:val="0032269E"/>
    <w:rsid w:val="003250A6"/>
    <w:rsid w:val="003256D4"/>
    <w:rsid w:val="00327441"/>
    <w:rsid w:val="0033211F"/>
    <w:rsid w:val="003339FC"/>
    <w:rsid w:val="003352FE"/>
    <w:rsid w:val="003360FD"/>
    <w:rsid w:val="00336137"/>
    <w:rsid w:val="003367A6"/>
    <w:rsid w:val="003445B3"/>
    <w:rsid w:val="00346AF4"/>
    <w:rsid w:val="0034700C"/>
    <w:rsid w:val="003537E6"/>
    <w:rsid w:val="0035461B"/>
    <w:rsid w:val="00354B30"/>
    <w:rsid w:val="00357216"/>
    <w:rsid w:val="003611BD"/>
    <w:rsid w:val="0036466E"/>
    <w:rsid w:val="00370960"/>
    <w:rsid w:val="00370C84"/>
    <w:rsid w:val="003722ED"/>
    <w:rsid w:val="00372D5F"/>
    <w:rsid w:val="00372FC4"/>
    <w:rsid w:val="00373E18"/>
    <w:rsid w:val="00383A72"/>
    <w:rsid w:val="00387FC2"/>
    <w:rsid w:val="003905EB"/>
    <w:rsid w:val="003914E5"/>
    <w:rsid w:val="003926FD"/>
    <w:rsid w:val="003929BB"/>
    <w:rsid w:val="00393484"/>
    <w:rsid w:val="00397C6E"/>
    <w:rsid w:val="003A3891"/>
    <w:rsid w:val="003A46D9"/>
    <w:rsid w:val="003A5269"/>
    <w:rsid w:val="003A5770"/>
    <w:rsid w:val="003A716F"/>
    <w:rsid w:val="003B1D63"/>
    <w:rsid w:val="003B27A3"/>
    <w:rsid w:val="003B27AD"/>
    <w:rsid w:val="003B2D98"/>
    <w:rsid w:val="003B7392"/>
    <w:rsid w:val="003B7496"/>
    <w:rsid w:val="003C143B"/>
    <w:rsid w:val="003C191E"/>
    <w:rsid w:val="003C4810"/>
    <w:rsid w:val="003C5003"/>
    <w:rsid w:val="003C6DED"/>
    <w:rsid w:val="003D0A4C"/>
    <w:rsid w:val="003D2087"/>
    <w:rsid w:val="003D4226"/>
    <w:rsid w:val="003D4761"/>
    <w:rsid w:val="003D7A2C"/>
    <w:rsid w:val="003E0EBC"/>
    <w:rsid w:val="003E182D"/>
    <w:rsid w:val="003E315D"/>
    <w:rsid w:val="003E69EC"/>
    <w:rsid w:val="003F0219"/>
    <w:rsid w:val="003F19E5"/>
    <w:rsid w:val="003F22C2"/>
    <w:rsid w:val="003F36FB"/>
    <w:rsid w:val="003F4332"/>
    <w:rsid w:val="003F7A6C"/>
    <w:rsid w:val="004022CB"/>
    <w:rsid w:val="0040278C"/>
    <w:rsid w:val="00405926"/>
    <w:rsid w:val="00405960"/>
    <w:rsid w:val="00406DF0"/>
    <w:rsid w:val="00407CCD"/>
    <w:rsid w:val="0041163E"/>
    <w:rsid w:val="0041270A"/>
    <w:rsid w:val="0041436A"/>
    <w:rsid w:val="00414AC9"/>
    <w:rsid w:val="0042076D"/>
    <w:rsid w:val="00421A60"/>
    <w:rsid w:val="00422989"/>
    <w:rsid w:val="004256AA"/>
    <w:rsid w:val="00425B6F"/>
    <w:rsid w:val="00426BE4"/>
    <w:rsid w:val="0043381E"/>
    <w:rsid w:val="004424BC"/>
    <w:rsid w:val="00450678"/>
    <w:rsid w:val="00453B51"/>
    <w:rsid w:val="00454DBA"/>
    <w:rsid w:val="00456981"/>
    <w:rsid w:val="00456D18"/>
    <w:rsid w:val="004616CD"/>
    <w:rsid w:val="004621A5"/>
    <w:rsid w:val="00462FB9"/>
    <w:rsid w:val="00465A2B"/>
    <w:rsid w:val="00465F9F"/>
    <w:rsid w:val="004717EA"/>
    <w:rsid w:val="00472DDE"/>
    <w:rsid w:val="00476054"/>
    <w:rsid w:val="004833F4"/>
    <w:rsid w:val="00483828"/>
    <w:rsid w:val="004905CF"/>
    <w:rsid w:val="00491CEA"/>
    <w:rsid w:val="004936E5"/>
    <w:rsid w:val="00494408"/>
    <w:rsid w:val="00496F23"/>
    <w:rsid w:val="004A10ED"/>
    <w:rsid w:val="004A157B"/>
    <w:rsid w:val="004A396F"/>
    <w:rsid w:val="004A478C"/>
    <w:rsid w:val="004A6600"/>
    <w:rsid w:val="004B196B"/>
    <w:rsid w:val="004B2EB4"/>
    <w:rsid w:val="004B418F"/>
    <w:rsid w:val="004B64BF"/>
    <w:rsid w:val="004C03B1"/>
    <w:rsid w:val="004C1FFC"/>
    <w:rsid w:val="004C225A"/>
    <w:rsid w:val="004C5A75"/>
    <w:rsid w:val="004C619A"/>
    <w:rsid w:val="004D0128"/>
    <w:rsid w:val="004D0580"/>
    <w:rsid w:val="004D14FE"/>
    <w:rsid w:val="004D4AAE"/>
    <w:rsid w:val="004E088C"/>
    <w:rsid w:val="004E2A4A"/>
    <w:rsid w:val="004E68FF"/>
    <w:rsid w:val="004F1050"/>
    <w:rsid w:val="004F3E0C"/>
    <w:rsid w:val="004F3F81"/>
    <w:rsid w:val="0050783C"/>
    <w:rsid w:val="00512133"/>
    <w:rsid w:val="00513D7A"/>
    <w:rsid w:val="005167F3"/>
    <w:rsid w:val="00516DE6"/>
    <w:rsid w:val="00521390"/>
    <w:rsid w:val="00522783"/>
    <w:rsid w:val="00525669"/>
    <w:rsid w:val="00525FC2"/>
    <w:rsid w:val="00527E35"/>
    <w:rsid w:val="005308E2"/>
    <w:rsid w:val="0053134F"/>
    <w:rsid w:val="00531828"/>
    <w:rsid w:val="0053297C"/>
    <w:rsid w:val="00534C55"/>
    <w:rsid w:val="005366BA"/>
    <w:rsid w:val="00542F74"/>
    <w:rsid w:val="00546B39"/>
    <w:rsid w:val="005470D7"/>
    <w:rsid w:val="00550D92"/>
    <w:rsid w:val="00560892"/>
    <w:rsid w:val="00560BB8"/>
    <w:rsid w:val="005619CA"/>
    <w:rsid w:val="00564344"/>
    <w:rsid w:val="005650C2"/>
    <w:rsid w:val="00565F49"/>
    <w:rsid w:val="005660C2"/>
    <w:rsid w:val="0056770F"/>
    <w:rsid w:val="00567D7C"/>
    <w:rsid w:val="00572393"/>
    <w:rsid w:val="005723AD"/>
    <w:rsid w:val="005744F0"/>
    <w:rsid w:val="00574A3B"/>
    <w:rsid w:val="00575423"/>
    <w:rsid w:val="00575729"/>
    <w:rsid w:val="005759EF"/>
    <w:rsid w:val="0057640E"/>
    <w:rsid w:val="00576AC6"/>
    <w:rsid w:val="00577480"/>
    <w:rsid w:val="0058298C"/>
    <w:rsid w:val="00584458"/>
    <w:rsid w:val="0058657F"/>
    <w:rsid w:val="005917CB"/>
    <w:rsid w:val="00595425"/>
    <w:rsid w:val="005A353D"/>
    <w:rsid w:val="005B03C9"/>
    <w:rsid w:val="005B2D35"/>
    <w:rsid w:val="005B3010"/>
    <w:rsid w:val="005B3295"/>
    <w:rsid w:val="005B4D9D"/>
    <w:rsid w:val="005B5175"/>
    <w:rsid w:val="005B6CF8"/>
    <w:rsid w:val="005C5C63"/>
    <w:rsid w:val="005C6E12"/>
    <w:rsid w:val="005D52DA"/>
    <w:rsid w:val="005E00BC"/>
    <w:rsid w:val="005E5DD6"/>
    <w:rsid w:val="005E60DD"/>
    <w:rsid w:val="005E62A6"/>
    <w:rsid w:val="005F0F19"/>
    <w:rsid w:val="005F51B1"/>
    <w:rsid w:val="005F6EBB"/>
    <w:rsid w:val="005F70BE"/>
    <w:rsid w:val="00603507"/>
    <w:rsid w:val="00610429"/>
    <w:rsid w:val="00611FC0"/>
    <w:rsid w:val="00612F2C"/>
    <w:rsid w:val="0061595C"/>
    <w:rsid w:val="006161CB"/>
    <w:rsid w:val="00616F53"/>
    <w:rsid w:val="006207CD"/>
    <w:rsid w:val="006230FF"/>
    <w:rsid w:val="00627E0B"/>
    <w:rsid w:val="00632D85"/>
    <w:rsid w:val="00634882"/>
    <w:rsid w:val="00643E50"/>
    <w:rsid w:val="00644956"/>
    <w:rsid w:val="00644E2C"/>
    <w:rsid w:val="00645A3A"/>
    <w:rsid w:val="006473B3"/>
    <w:rsid w:val="00653D61"/>
    <w:rsid w:val="00653DC8"/>
    <w:rsid w:val="00657C5A"/>
    <w:rsid w:val="006604D1"/>
    <w:rsid w:val="00662153"/>
    <w:rsid w:val="006627B1"/>
    <w:rsid w:val="00666279"/>
    <w:rsid w:val="00670CBE"/>
    <w:rsid w:val="006711EC"/>
    <w:rsid w:val="0067303E"/>
    <w:rsid w:val="00673467"/>
    <w:rsid w:val="00674BE7"/>
    <w:rsid w:val="00674CB3"/>
    <w:rsid w:val="0067597C"/>
    <w:rsid w:val="0067725D"/>
    <w:rsid w:val="0068017A"/>
    <w:rsid w:val="006842AE"/>
    <w:rsid w:val="00684930"/>
    <w:rsid w:val="006857AD"/>
    <w:rsid w:val="00686C36"/>
    <w:rsid w:val="0068793E"/>
    <w:rsid w:val="006879A2"/>
    <w:rsid w:val="00691977"/>
    <w:rsid w:val="00692B0E"/>
    <w:rsid w:val="00692C51"/>
    <w:rsid w:val="006945F2"/>
    <w:rsid w:val="00694C10"/>
    <w:rsid w:val="00696B8C"/>
    <w:rsid w:val="00697DEE"/>
    <w:rsid w:val="006A34CC"/>
    <w:rsid w:val="006A4C7B"/>
    <w:rsid w:val="006B3351"/>
    <w:rsid w:val="006B5B10"/>
    <w:rsid w:val="006C0DF2"/>
    <w:rsid w:val="006C3AA6"/>
    <w:rsid w:val="006D5F81"/>
    <w:rsid w:val="006D63F1"/>
    <w:rsid w:val="006D6AC4"/>
    <w:rsid w:val="006E2D27"/>
    <w:rsid w:val="006E5532"/>
    <w:rsid w:val="006E5CEC"/>
    <w:rsid w:val="006E5CFD"/>
    <w:rsid w:val="006E7212"/>
    <w:rsid w:val="006F5E22"/>
    <w:rsid w:val="006F60D9"/>
    <w:rsid w:val="006F6770"/>
    <w:rsid w:val="006F7102"/>
    <w:rsid w:val="006F7135"/>
    <w:rsid w:val="007012CA"/>
    <w:rsid w:val="00703019"/>
    <w:rsid w:val="00705284"/>
    <w:rsid w:val="00713792"/>
    <w:rsid w:val="00715B99"/>
    <w:rsid w:val="00717CCD"/>
    <w:rsid w:val="007212A7"/>
    <w:rsid w:val="00722B92"/>
    <w:rsid w:val="0072397B"/>
    <w:rsid w:val="00732943"/>
    <w:rsid w:val="00736B52"/>
    <w:rsid w:val="00736C46"/>
    <w:rsid w:val="007402A5"/>
    <w:rsid w:val="00741354"/>
    <w:rsid w:val="00742040"/>
    <w:rsid w:val="007423AD"/>
    <w:rsid w:val="00742B9F"/>
    <w:rsid w:val="007441D9"/>
    <w:rsid w:val="00745B0A"/>
    <w:rsid w:val="00746E1F"/>
    <w:rsid w:val="00751455"/>
    <w:rsid w:val="00754CDA"/>
    <w:rsid w:val="007624D2"/>
    <w:rsid w:val="007647E9"/>
    <w:rsid w:val="00766564"/>
    <w:rsid w:val="0076691E"/>
    <w:rsid w:val="00772F6A"/>
    <w:rsid w:val="007736B1"/>
    <w:rsid w:val="007755DE"/>
    <w:rsid w:val="007757EA"/>
    <w:rsid w:val="00775F16"/>
    <w:rsid w:val="00782130"/>
    <w:rsid w:val="0078270F"/>
    <w:rsid w:val="00790F5E"/>
    <w:rsid w:val="007916B8"/>
    <w:rsid w:val="00791772"/>
    <w:rsid w:val="007975B3"/>
    <w:rsid w:val="007A14E9"/>
    <w:rsid w:val="007A3195"/>
    <w:rsid w:val="007A6096"/>
    <w:rsid w:val="007B07E8"/>
    <w:rsid w:val="007B30DF"/>
    <w:rsid w:val="007B3A33"/>
    <w:rsid w:val="007B63FC"/>
    <w:rsid w:val="007B6C6D"/>
    <w:rsid w:val="007C3D3D"/>
    <w:rsid w:val="007C4174"/>
    <w:rsid w:val="007C5181"/>
    <w:rsid w:val="007D1808"/>
    <w:rsid w:val="007D3E99"/>
    <w:rsid w:val="007E0DD2"/>
    <w:rsid w:val="007E2EDB"/>
    <w:rsid w:val="007E3231"/>
    <w:rsid w:val="007E4699"/>
    <w:rsid w:val="007E4A8E"/>
    <w:rsid w:val="007E6768"/>
    <w:rsid w:val="007E6BDD"/>
    <w:rsid w:val="007F1731"/>
    <w:rsid w:val="007F55AA"/>
    <w:rsid w:val="007F6AA7"/>
    <w:rsid w:val="00800C88"/>
    <w:rsid w:val="00801F56"/>
    <w:rsid w:val="008028D6"/>
    <w:rsid w:val="00804274"/>
    <w:rsid w:val="0080457C"/>
    <w:rsid w:val="00806618"/>
    <w:rsid w:val="0080684E"/>
    <w:rsid w:val="00806B4C"/>
    <w:rsid w:val="008079EF"/>
    <w:rsid w:val="00810B8C"/>
    <w:rsid w:val="00811FA9"/>
    <w:rsid w:val="00816C4D"/>
    <w:rsid w:val="008177DC"/>
    <w:rsid w:val="00820E4C"/>
    <w:rsid w:val="00822B5A"/>
    <w:rsid w:val="00822EDC"/>
    <w:rsid w:val="008235CB"/>
    <w:rsid w:val="00824BAE"/>
    <w:rsid w:val="008270B6"/>
    <w:rsid w:val="008307A6"/>
    <w:rsid w:val="00830C7E"/>
    <w:rsid w:val="00835BF4"/>
    <w:rsid w:val="00837413"/>
    <w:rsid w:val="00840E28"/>
    <w:rsid w:val="00842BF5"/>
    <w:rsid w:val="00845ACB"/>
    <w:rsid w:val="00847226"/>
    <w:rsid w:val="00852E15"/>
    <w:rsid w:val="00854A1F"/>
    <w:rsid w:val="0085534D"/>
    <w:rsid w:val="00855A02"/>
    <w:rsid w:val="008621C9"/>
    <w:rsid w:val="00872561"/>
    <w:rsid w:val="0087598F"/>
    <w:rsid w:val="0088155F"/>
    <w:rsid w:val="00882A97"/>
    <w:rsid w:val="00883348"/>
    <w:rsid w:val="0088481B"/>
    <w:rsid w:val="00886254"/>
    <w:rsid w:val="00886621"/>
    <w:rsid w:val="008870DA"/>
    <w:rsid w:val="008925FF"/>
    <w:rsid w:val="00895D45"/>
    <w:rsid w:val="008A4DAA"/>
    <w:rsid w:val="008A61B8"/>
    <w:rsid w:val="008B2061"/>
    <w:rsid w:val="008B6DAC"/>
    <w:rsid w:val="008C2A00"/>
    <w:rsid w:val="008C30D4"/>
    <w:rsid w:val="008D1B0D"/>
    <w:rsid w:val="008D1EE8"/>
    <w:rsid w:val="008D26E7"/>
    <w:rsid w:val="008D5965"/>
    <w:rsid w:val="008D6200"/>
    <w:rsid w:val="008D73FE"/>
    <w:rsid w:val="008D7A06"/>
    <w:rsid w:val="008E0495"/>
    <w:rsid w:val="008E4F4C"/>
    <w:rsid w:val="008E7E31"/>
    <w:rsid w:val="008F00E1"/>
    <w:rsid w:val="008F0678"/>
    <w:rsid w:val="008F0865"/>
    <w:rsid w:val="008F0C50"/>
    <w:rsid w:val="008F1074"/>
    <w:rsid w:val="008F1820"/>
    <w:rsid w:val="008F29E1"/>
    <w:rsid w:val="008F55B4"/>
    <w:rsid w:val="008F6A4B"/>
    <w:rsid w:val="009047AD"/>
    <w:rsid w:val="00904AF1"/>
    <w:rsid w:val="00905491"/>
    <w:rsid w:val="00907223"/>
    <w:rsid w:val="00910A6B"/>
    <w:rsid w:val="00912F22"/>
    <w:rsid w:val="00913C62"/>
    <w:rsid w:val="00915E41"/>
    <w:rsid w:val="00917F7C"/>
    <w:rsid w:val="0092373A"/>
    <w:rsid w:val="00924110"/>
    <w:rsid w:val="00924369"/>
    <w:rsid w:val="0092741C"/>
    <w:rsid w:val="009303CA"/>
    <w:rsid w:val="00933FDC"/>
    <w:rsid w:val="00936ABE"/>
    <w:rsid w:val="0094076F"/>
    <w:rsid w:val="009429CA"/>
    <w:rsid w:val="00944FDF"/>
    <w:rsid w:val="00950E15"/>
    <w:rsid w:val="0095143A"/>
    <w:rsid w:val="009519D6"/>
    <w:rsid w:val="0095675B"/>
    <w:rsid w:val="00956B92"/>
    <w:rsid w:val="009606D4"/>
    <w:rsid w:val="00961EAB"/>
    <w:rsid w:val="009636CD"/>
    <w:rsid w:val="00963E0D"/>
    <w:rsid w:val="009651CF"/>
    <w:rsid w:val="0096564D"/>
    <w:rsid w:val="009660E5"/>
    <w:rsid w:val="00967C7D"/>
    <w:rsid w:val="009732F7"/>
    <w:rsid w:val="00973A61"/>
    <w:rsid w:val="00973FC4"/>
    <w:rsid w:val="00977657"/>
    <w:rsid w:val="009879A1"/>
    <w:rsid w:val="00990C89"/>
    <w:rsid w:val="00993152"/>
    <w:rsid w:val="009A162A"/>
    <w:rsid w:val="009A1B64"/>
    <w:rsid w:val="009A4D18"/>
    <w:rsid w:val="009A6259"/>
    <w:rsid w:val="009A7A29"/>
    <w:rsid w:val="009B40B3"/>
    <w:rsid w:val="009B6207"/>
    <w:rsid w:val="009B7715"/>
    <w:rsid w:val="009C1A5D"/>
    <w:rsid w:val="009C1BB5"/>
    <w:rsid w:val="009C3DF7"/>
    <w:rsid w:val="009C408B"/>
    <w:rsid w:val="009D7FF2"/>
    <w:rsid w:val="009E1579"/>
    <w:rsid w:val="009E3045"/>
    <w:rsid w:val="009E372E"/>
    <w:rsid w:val="009E3BDF"/>
    <w:rsid w:val="009E74FA"/>
    <w:rsid w:val="009E7956"/>
    <w:rsid w:val="009F4432"/>
    <w:rsid w:val="009F7218"/>
    <w:rsid w:val="00A00545"/>
    <w:rsid w:val="00A028DC"/>
    <w:rsid w:val="00A02D60"/>
    <w:rsid w:val="00A04067"/>
    <w:rsid w:val="00A07DCB"/>
    <w:rsid w:val="00A11A6B"/>
    <w:rsid w:val="00A13881"/>
    <w:rsid w:val="00A149EF"/>
    <w:rsid w:val="00A2431D"/>
    <w:rsid w:val="00A24716"/>
    <w:rsid w:val="00A249F8"/>
    <w:rsid w:val="00A27AB3"/>
    <w:rsid w:val="00A348E1"/>
    <w:rsid w:val="00A364F6"/>
    <w:rsid w:val="00A41230"/>
    <w:rsid w:val="00A5224A"/>
    <w:rsid w:val="00A53E4B"/>
    <w:rsid w:val="00A5451B"/>
    <w:rsid w:val="00A54B9E"/>
    <w:rsid w:val="00A54FA8"/>
    <w:rsid w:val="00A6512C"/>
    <w:rsid w:val="00A6607E"/>
    <w:rsid w:val="00A71F21"/>
    <w:rsid w:val="00A749A5"/>
    <w:rsid w:val="00A8198E"/>
    <w:rsid w:val="00A82472"/>
    <w:rsid w:val="00A84534"/>
    <w:rsid w:val="00A85385"/>
    <w:rsid w:val="00A87452"/>
    <w:rsid w:val="00A9499A"/>
    <w:rsid w:val="00A95581"/>
    <w:rsid w:val="00A95DC8"/>
    <w:rsid w:val="00AA10C4"/>
    <w:rsid w:val="00AA2362"/>
    <w:rsid w:val="00AA39F3"/>
    <w:rsid w:val="00AA3EB5"/>
    <w:rsid w:val="00AA7D05"/>
    <w:rsid w:val="00AB2F7F"/>
    <w:rsid w:val="00AB3D05"/>
    <w:rsid w:val="00AB6669"/>
    <w:rsid w:val="00AB72AB"/>
    <w:rsid w:val="00AC0AF6"/>
    <w:rsid w:val="00AC140C"/>
    <w:rsid w:val="00AC5637"/>
    <w:rsid w:val="00AC64C5"/>
    <w:rsid w:val="00AD4601"/>
    <w:rsid w:val="00AD5638"/>
    <w:rsid w:val="00AD70CA"/>
    <w:rsid w:val="00AE041C"/>
    <w:rsid w:val="00AE2579"/>
    <w:rsid w:val="00AE25F2"/>
    <w:rsid w:val="00AE5336"/>
    <w:rsid w:val="00B0006D"/>
    <w:rsid w:val="00B00376"/>
    <w:rsid w:val="00B014ED"/>
    <w:rsid w:val="00B01C0D"/>
    <w:rsid w:val="00B01C1F"/>
    <w:rsid w:val="00B01DFD"/>
    <w:rsid w:val="00B0527F"/>
    <w:rsid w:val="00B05BF5"/>
    <w:rsid w:val="00B0745B"/>
    <w:rsid w:val="00B07C47"/>
    <w:rsid w:val="00B12D3D"/>
    <w:rsid w:val="00B21216"/>
    <w:rsid w:val="00B23BDA"/>
    <w:rsid w:val="00B27213"/>
    <w:rsid w:val="00B30F56"/>
    <w:rsid w:val="00B3241D"/>
    <w:rsid w:val="00B32B39"/>
    <w:rsid w:val="00B33C77"/>
    <w:rsid w:val="00B35CEF"/>
    <w:rsid w:val="00B3697D"/>
    <w:rsid w:val="00B44858"/>
    <w:rsid w:val="00B44B82"/>
    <w:rsid w:val="00B513E1"/>
    <w:rsid w:val="00B51F53"/>
    <w:rsid w:val="00B563A2"/>
    <w:rsid w:val="00B56440"/>
    <w:rsid w:val="00B571A0"/>
    <w:rsid w:val="00B61174"/>
    <w:rsid w:val="00B633C4"/>
    <w:rsid w:val="00B63F25"/>
    <w:rsid w:val="00B735D7"/>
    <w:rsid w:val="00B75CE8"/>
    <w:rsid w:val="00B81C80"/>
    <w:rsid w:val="00B81DB0"/>
    <w:rsid w:val="00B82BD2"/>
    <w:rsid w:val="00B84A7E"/>
    <w:rsid w:val="00B85361"/>
    <w:rsid w:val="00B876DB"/>
    <w:rsid w:val="00B90DE2"/>
    <w:rsid w:val="00B94DAE"/>
    <w:rsid w:val="00B94E06"/>
    <w:rsid w:val="00B95A41"/>
    <w:rsid w:val="00BA0165"/>
    <w:rsid w:val="00BA08FB"/>
    <w:rsid w:val="00BA0C3D"/>
    <w:rsid w:val="00BA1276"/>
    <w:rsid w:val="00BA3643"/>
    <w:rsid w:val="00BA4762"/>
    <w:rsid w:val="00BB4B45"/>
    <w:rsid w:val="00BC37FB"/>
    <w:rsid w:val="00BC4AA2"/>
    <w:rsid w:val="00BD00A6"/>
    <w:rsid w:val="00BD7007"/>
    <w:rsid w:val="00BD774C"/>
    <w:rsid w:val="00BE0BB3"/>
    <w:rsid w:val="00BE10A3"/>
    <w:rsid w:val="00BE6A1E"/>
    <w:rsid w:val="00BF2F82"/>
    <w:rsid w:val="00BF4BE9"/>
    <w:rsid w:val="00BF6B66"/>
    <w:rsid w:val="00C00984"/>
    <w:rsid w:val="00C01760"/>
    <w:rsid w:val="00C019B8"/>
    <w:rsid w:val="00C04801"/>
    <w:rsid w:val="00C0727F"/>
    <w:rsid w:val="00C12CCD"/>
    <w:rsid w:val="00C16A5E"/>
    <w:rsid w:val="00C22267"/>
    <w:rsid w:val="00C36243"/>
    <w:rsid w:val="00C414DE"/>
    <w:rsid w:val="00C51FF8"/>
    <w:rsid w:val="00C54110"/>
    <w:rsid w:val="00C54BBD"/>
    <w:rsid w:val="00C60E9D"/>
    <w:rsid w:val="00C613E4"/>
    <w:rsid w:val="00C619E7"/>
    <w:rsid w:val="00C63473"/>
    <w:rsid w:val="00C644AA"/>
    <w:rsid w:val="00C70AF8"/>
    <w:rsid w:val="00C71FE6"/>
    <w:rsid w:val="00C74030"/>
    <w:rsid w:val="00C76007"/>
    <w:rsid w:val="00C80F41"/>
    <w:rsid w:val="00C810D5"/>
    <w:rsid w:val="00C81B75"/>
    <w:rsid w:val="00C860AB"/>
    <w:rsid w:val="00C905B2"/>
    <w:rsid w:val="00C90FC5"/>
    <w:rsid w:val="00C933FB"/>
    <w:rsid w:val="00C96AD9"/>
    <w:rsid w:val="00CA0D36"/>
    <w:rsid w:val="00CA12A7"/>
    <w:rsid w:val="00CA2E03"/>
    <w:rsid w:val="00CA2EF2"/>
    <w:rsid w:val="00CB10D1"/>
    <w:rsid w:val="00CB1ACF"/>
    <w:rsid w:val="00CB27C4"/>
    <w:rsid w:val="00CB5117"/>
    <w:rsid w:val="00CB5E33"/>
    <w:rsid w:val="00CB6A77"/>
    <w:rsid w:val="00CD2371"/>
    <w:rsid w:val="00CD278E"/>
    <w:rsid w:val="00CD6510"/>
    <w:rsid w:val="00CD7BA5"/>
    <w:rsid w:val="00CE17AD"/>
    <w:rsid w:val="00CF2A38"/>
    <w:rsid w:val="00CF2DD4"/>
    <w:rsid w:val="00CF2F85"/>
    <w:rsid w:val="00CF3E9A"/>
    <w:rsid w:val="00D0105F"/>
    <w:rsid w:val="00D016CE"/>
    <w:rsid w:val="00D042F0"/>
    <w:rsid w:val="00D06A76"/>
    <w:rsid w:val="00D06F3D"/>
    <w:rsid w:val="00D07024"/>
    <w:rsid w:val="00D1082F"/>
    <w:rsid w:val="00D202DC"/>
    <w:rsid w:val="00D204C8"/>
    <w:rsid w:val="00D21328"/>
    <w:rsid w:val="00D239E5"/>
    <w:rsid w:val="00D23F72"/>
    <w:rsid w:val="00D2634F"/>
    <w:rsid w:val="00D263B5"/>
    <w:rsid w:val="00D32978"/>
    <w:rsid w:val="00D34056"/>
    <w:rsid w:val="00D35D70"/>
    <w:rsid w:val="00D4006C"/>
    <w:rsid w:val="00D403A9"/>
    <w:rsid w:val="00D40B40"/>
    <w:rsid w:val="00D422A6"/>
    <w:rsid w:val="00D43DBD"/>
    <w:rsid w:val="00D4458F"/>
    <w:rsid w:val="00D45A35"/>
    <w:rsid w:val="00D51CE5"/>
    <w:rsid w:val="00D54AF3"/>
    <w:rsid w:val="00D554A6"/>
    <w:rsid w:val="00D5586C"/>
    <w:rsid w:val="00D64743"/>
    <w:rsid w:val="00D66C97"/>
    <w:rsid w:val="00D67CEC"/>
    <w:rsid w:val="00D7366F"/>
    <w:rsid w:val="00D740B0"/>
    <w:rsid w:val="00D7437F"/>
    <w:rsid w:val="00D74A9B"/>
    <w:rsid w:val="00D7735C"/>
    <w:rsid w:val="00D820E1"/>
    <w:rsid w:val="00D8751E"/>
    <w:rsid w:val="00D879C8"/>
    <w:rsid w:val="00D90D4A"/>
    <w:rsid w:val="00D913FE"/>
    <w:rsid w:val="00DA7204"/>
    <w:rsid w:val="00DB7085"/>
    <w:rsid w:val="00DC61D3"/>
    <w:rsid w:val="00DC7E74"/>
    <w:rsid w:val="00DD062C"/>
    <w:rsid w:val="00DD53F6"/>
    <w:rsid w:val="00DD6486"/>
    <w:rsid w:val="00DD6EA0"/>
    <w:rsid w:val="00DE00DB"/>
    <w:rsid w:val="00DE73E0"/>
    <w:rsid w:val="00DF4EB5"/>
    <w:rsid w:val="00E0033A"/>
    <w:rsid w:val="00E01D59"/>
    <w:rsid w:val="00E07BA5"/>
    <w:rsid w:val="00E07CA0"/>
    <w:rsid w:val="00E07DA9"/>
    <w:rsid w:val="00E179CB"/>
    <w:rsid w:val="00E17C4A"/>
    <w:rsid w:val="00E20A21"/>
    <w:rsid w:val="00E36C00"/>
    <w:rsid w:val="00E413FF"/>
    <w:rsid w:val="00E4409A"/>
    <w:rsid w:val="00E44B13"/>
    <w:rsid w:val="00E5033E"/>
    <w:rsid w:val="00E50CAD"/>
    <w:rsid w:val="00E53DE0"/>
    <w:rsid w:val="00E569C4"/>
    <w:rsid w:val="00E56D93"/>
    <w:rsid w:val="00E72511"/>
    <w:rsid w:val="00E76422"/>
    <w:rsid w:val="00E773E9"/>
    <w:rsid w:val="00E77FE0"/>
    <w:rsid w:val="00E80D2A"/>
    <w:rsid w:val="00E82B9B"/>
    <w:rsid w:val="00E85D68"/>
    <w:rsid w:val="00E93AED"/>
    <w:rsid w:val="00E9587D"/>
    <w:rsid w:val="00EA135D"/>
    <w:rsid w:val="00EA1BA2"/>
    <w:rsid w:val="00EA22D4"/>
    <w:rsid w:val="00EA3520"/>
    <w:rsid w:val="00EA434A"/>
    <w:rsid w:val="00EA6BA8"/>
    <w:rsid w:val="00EA7BF5"/>
    <w:rsid w:val="00EB08F7"/>
    <w:rsid w:val="00EB14F4"/>
    <w:rsid w:val="00EB6E35"/>
    <w:rsid w:val="00EC217D"/>
    <w:rsid w:val="00EC31BA"/>
    <w:rsid w:val="00EC78EF"/>
    <w:rsid w:val="00ED495A"/>
    <w:rsid w:val="00EE5869"/>
    <w:rsid w:val="00EE5E82"/>
    <w:rsid w:val="00EF1AB4"/>
    <w:rsid w:val="00EF1C76"/>
    <w:rsid w:val="00EF1EFF"/>
    <w:rsid w:val="00EF33D3"/>
    <w:rsid w:val="00EF46B4"/>
    <w:rsid w:val="00EF4EB9"/>
    <w:rsid w:val="00EF5237"/>
    <w:rsid w:val="00EF7507"/>
    <w:rsid w:val="00F0552F"/>
    <w:rsid w:val="00F05ED1"/>
    <w:rsid w:val="00F07A31"/>
    <w:rsid w:val="00F10801"/>
    <w:rsid w:val="00F13ECD"/>
    <w:rsid w:val="00F14510"/>
    <w:rsid w:val="00F151E9"/>
    <w:rsid w:val="00F16228"/>
    <w:rsid w:val="00F17986"/>
    <w:rsid w:val="00F2134A"/>
    <w:rsid w:val="00F217B8"/>
    <w:rsid w:val="00F23F1A"/>
    <w:rsid w:val="00F24DC1"/>
    <w:rsid w:val="00F25AE9"/>
    <w:rsid w:val="00F26378"/>
    <w:rsid w:val="00F34947"/>
    <w:rsid w:val="00F40DE5"/>
    <w:rsid w:val="00F4243B"/>
    <w:rsid w:val="00F44512"/>
    <w:rsid w:val="00F45E53"/>
    <w:rsid w:val="00F47792"/>
    <w:rsid w:val="00F52690"/>
    <w:rsid w:val="00F52A25"/>
    <w:rsid w:val="00F53BEF"/>
    <w:rsid w:val="00F577E8"/>
    <w:rsid w:val="00F65CA4"/>
    <w:rsid w:val="00F65FC5"/>
    <w:rsid w:val="00F66774"/>
    <w:rsid w:val="00F76D0C"/>
    <w:rsid w:val="00F830D3"/>
    <w:rsid w:val="00F86C44"/>
    <w:rsid w:val="00F9188F"/>
    <w:rsid w:val="00F9340B"/>
    <w:rsid w:val="00F93E17"/>
    <w:rsid w:val="00F94777"/>
    <w:rsid w:val="00F95C9F"/>
    <w:rsid w:val="00F967FA"/>
    <w:rsid w:val="00FA1E30"/>
    <w:rsid w:val="00FA3D05"/>
    <w:rsid w:val="00FA4C5A"/>
    <w:rsid w:val="00FA6817"/>
    <w:rsid w:val="00FB0AC5"/>
    <w:rsid w:val="00FB51A2"/>
    <w:rsid w:val="00FB6E8B"/>
    <w:rsid w:val="00FC1471"/>
    <w:rsid w:val="00FC28E5"/>
    <w:rsid w:val="00FC4B5D"/>
    <w:rsid w:val="00FD37D0"/>
    <w:rsid w:val="00FD4D52"/>
    <w:rsid w:val="00FE2416"/>
    <w:rsid w:val="00FE68FB"/>
    <w:rsid w:val="00FF098B"/>
    <w:rsid w:val="00FF2225"/>
    <w:rsid w:val="00FF5AC5"/>
    <w:rsid w:val="00FF6333"/>
    <w:rsid w:val="00FF6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1EDC8-5513-48D2-8C89-882D21F1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2"/>
    <w:qFormat/>
    <w:rsid w:val="00852E15"/>
    <w:pPr>
      <w:numPr>
        <w:numId w:val="14"/>
      </w:numPr>
      <w:spacing w:before="240" w:after="240"/>
      <w:ind w:hanging="1080"/>
      <w:outlineLvl w:val="0"/>
    </w:pPr>
    <w:rPr>
      <w:rFonts w:eastAsiaTheme="majorEastAsia" w:cstheme="majorBidi"/>
      <w:b/>
      <w:bCs/>
      <w:kern w:val="32"/>
      <w:sz w:val="44"/>
      <w:szCs w:val="44"/>
    </w:rPr>
  </w:style>
  <w:style w:type="paragraph" w:styleId="berschrift2">
    <w:name w:val="heading 2"/>
    <w:basedOn w:val="Standard"/>
    <w:next w:val="Standard"/>
    <w:link w:val="berschrift2Zchn"/>
    <w:uiPriority w:val="2"/>
    <w:qFormat/>
    <w:rsid w:val="005F6EBB"/>
    <w:pPr>
      <w:keepNext/>
      <w:keepLines/>
      <w:numPr>
        <w:ilvl w:val="1"/>
        <w:numId w:val="17"/>
      </w:numPr>
      <w:spacing w:before="240" w:after="240"/>
      <w:ind w:left="576"/>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numPr>
        <w:ilvl w:val="2"/>
        <w:numId w:val="17"/>
      </w:numPr>
      <w:spacing w:before="240" w:after="120"/>
      <w:ind w:left="7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numPr>
        <w:ilvl w:val="3"/>
        <w:numId w:val="17"/>
      </w:numPr>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numPr>
        <w:ilvl w:val="4"/>
        <w:numId w:val="17"/>
      </w:numPr>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numPr>
        <w:ilvl w:val="5"/>
        <w:numId w:val="17"/>
      </w:numPr>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numPr>
        <w:ilvl w:val="6"/>
        <w:numId w:val="17"/>
      </w:numPr>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numPr>
        <w:ilvl w:val="7"/>
        <w:numId w:val="17"/>
      </w:numPr>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numPr>
        <w:ilvl w:val="8"/>
        <w:numId w:val="17"/>
      </w:numPr>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852E15"/>
    <w:rPr>
      <w:rFonts w:ascii="Arial" w:eastAsiaTheme="majorEastAsia" w:hAnsi="Arial" w:cstheme="majorBidi"/>
      <w:b/>
      <w:bCs/>
      <w:kern w:val="32"/>
      <w:sz w:val="44"/>
      <w:szCs w:val="44"/>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1"/>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3"/>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4"/>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5"/>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character" w:styleId="Hyperlink">
    <w:name w:val="Hyperlink"/>
    <w:basedOn w:val="Absatz-Standardschriftart"/>
    <w:rsid w:val="000F0AF9"/>
    <w:rPr>
      <w:color w:val="0000FF"/>
      <w:u w:val="single"/>
    </w:rPr>
  </w:style>
  <w:style w:type="paragraph" w:customStyle="1" w:styleId="Default">
    <w:name w:val="Default"/>
    <w:rsid w:val="00B23BDA"/>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Zeilennummer">
    <w:name w:val="line number"/>
    <w:basedOn w:val="Absatz-Standardschriftart"/>
    <w:uiPriority w:val="99"/>
    <w:semiHidden/>
    <w:unhideWhenUsed/>
    <w:rsid w:val="001037FE"/>
  </w:style>
  <w:style w:type="paragraph" w:styleId="Kopfzeile">
    <w:name w:val="header"/>
    <w:basedOn w:val="Standard"/>
    <w:link w:val="KopfzeileZchn"/>
    <w:uiPriority w:val="99"/>
    <w:unhideWhenUsed/>
    <w:rsid w:val="005660C2"/>
    <w:pPr>
      <w:tabs>
        <w:tab w:val="center" w:pos="4536"/>
        <w:tab w:val="right" w:pos="9072"/>
      </w:tabs>
    </w:pPr>
  </w:style>
  <w:style w:type="character" w:customStyle="1" w:styleId="KopfzeileZchn">
    <w:name w:val="Kopfzeile Zchn"/>
    <w:basedOn w:val="Absatz-Standardschriftart"/>
    <w:link w:val="Kopfzeile"/>
    <w:uiPriority w:val="99"/>
    <w:rsid w:val="005660C2"/>
    <w:rPr>
      <w:rFonts w:ascii="Arial" w:hAnsi="Arial"/>
    </w:rPr>
  </w:style>
  <w:style w:type="paragraph" w:styleId="Fuzeile">
    <w:name w:val="footer"/>
    <w:basedOn w:val="Standard"/>
    <w:link w:val="FuzeileZchn"/>
    <w:uiPriority w:val="99"/>
    <w:unhideWhenUsed/>
    <w:rsid w:val="005660C2"/>
    <w:pPr>
      <w:tabs>
        <w:tab w:val="center" w:pos="4536"/>
        <w:tab w:val="right" w:pos="9072"/>
      </w:tabs>
    </w:pPr>
  </w:style>
  <w:style w:type="character" w:customStyle="1" w:styleId="FuzeileZchn">
    <w:name w:val="Fußzeile Zchn"/>
    <w:basedOn w:val="Absatz-Standardschriftart"/>
    <w:link w:val="Fuzeile"/>
    <w:uiPriority w:val="99"/>
    <w:rsid w:val="005660C2"/>
    <w:rPr>
      <w:rFonts w:ascii="Arial" w:hAnsi="Arial"/>
    </w:rPr>
  </w:style>
  <w:style w:type="paragraph" w:styleId="Dokumentstruktur">
    <w:name w:val="Document Map"/>
    <w:basedOn w:val="Standard"/>
    <w:link w:val="DokumentstrukturZchn"/>
    <w:uiPriority w:val="99"/>
    <w:semiHidden/>
    <w:unhideWhenUsed/>
    <w:rsid w:val="005660C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660C2"/>
    <w:rPr>
      <w:rFonts w:ascii="Tahoma" w:hAnsi="Tahoma" w:cs="Tahoma"/>
      <w:sz w:val="16"/>
      <w:szCs w:val="16"/>
    </w:rPr>
  </w:style>
  <w:style w:type="character" w:styleId="Hervorhebung">
    <w:name w:val="Emphasis"/>
    <w:basedOn w:val="Absatz-Standardschriftart"/>
    <w:uiPriority w:val="20"/>
    <w:qFormat/>
    <w:rsid w:val="003611BD"/>
    <w:rPr>
      <w:i/>
      <w:iCs/>
    </w:rPr>
  </w:style>
  <w:style w:type="paragraph" w:styleId="Textkrper2">
    <w:name w:val="Body Text 2"/>
    <w:basedOn w:val="Standard"/>
    <w:link w:val="Textkrper2Zchn"/>
    <w:rsid w:val="00C74030"/>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C74030"/>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749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9A5"/>
    <w:rPr>
      <w:rFonts w:ascii="Tahoma" w:hAnsi="Tahoma" w:cs="Tahoma"/>
      <w:sz w:val="16"/>
      <w:szCs w:val="16"/>
    </w:rPr>
  </w:style>
  <w:style w:type="table" w:styleId="Tabellenraster">
    <w:name w:val="Table Grid"/>
    <w:basedOn w:val="NormaleTabelle"/>
    <w:rsid w:val="002469F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Standard"/>
    <w:rsid w:val="006E7212"/>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F5D665FCE9284B4FB2622A1808488B87">
    <w:name w:val="F5D665FCE9284B4FB2622A1808488B87"/>
    <w:rsid w:val="006627B1"/>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3355">
      <w:bodyDiv w:val="1"/>
      <w:marLeft w:val="0"/>
      <w:marRight w:val="0"/>
      <w:marTop w:val="0"/>
      <w:marBottom w:val="0"/>
      <w:divBdr>
        <w:top w:val="none" w:sz="0" w:space="0" w:color="auto"/>
        <w:left w:val="none" w:sz="0" w:space="0" w:color="auto"/>
        <w:bottom w:val="none" w:sz="0" w:space="0" w:color="auto"/>
        <w:right w:val="none" w:sz="0" w:space="0" w:color="auto"/>
      </w:divBdr>
      <w:divsChild>
        <w:div w:id="1656488186">
          <w:marLeft w:val="2160"/>
          <w:marRight w:val="0"/>
          <w:marTop w:val="0"/>
          <w:marBottom w:val="0"/>
          <w:divBdr>
            <w:top w:val="none" w:sz="0" w:space="0" w:color="auto"/>
            <w:left w:val="none" w:sz="0" w:space="0" w:color="auto"/>
            <w:bottom w:val="none" w:sz="0" w:space="0" w:color="auto"/>
            <w:right w:val="none" w:sz="0" w:space="0" w:color="auto"/>
          </w:divBdr>
        </w:div>
      </w:divsChild>
    </w:div>
    <w:div w:id="335311285">
      <w:bodyDiv w:val="1"/>
      <w:marLeft w:val="0"/>
      <w:marRight w:val="0"/>
      <w:marTop w:val="0"/>
      <w:marBottom w:val="0"/>
      <w:divBdr>
        <w:top w:val="none" w:sz="0" w:space="0" w:color="auto"/>
        <w:left w:val="none" w:sz="0" w:space="0" w:color="auto"/>
        <w:bottom w:val="none" w:sz="0" w:space="0" w:color="auto"/>
        <w:right w:val="none" w:sz="0" w:space="0" w:color="auto"/>
      </w:divBdr>
    </w:div>
    <w:div w:id="360933040">
      <w:bodyDiv w:val="1"/>
      <w:marLeft w:val="0"/>
      <w:marRight w:val="0"/>
      <w:marTop w:val="0"/>
      <w:marBottom w:val="0"/>
      <w:divBdr>
        <w:top w:val="none" w:sz="0" w:space="0" w:color="auto"/>
        <w:left w:val="none" w:sz="0" w:space="0" w:color="auto"/>
        <w:bottom w:val="none" w:sz="0" w:space="0" w:color="auto"/>
        <w:right w:val="none" w:sz="0" w:space="0" w:color="auto"/>
      </w:divBdr>
    </w:div>
    <w:div w:id="410542006">
      <w:bodyDiv w:val="1"/>
      <w:marLeft w:val="0"/>
      <w:marRight w:val="0"/>
      <w:marTop w:val="0"/>
      <w:marBottom w:val="0"/>
      <w:divBdr>
        <w:top w:val="none" w:sz="0" w:space="0" w:color="auto"/>
        <w:left w:val="none" w:sz="0" w:space="0" w:color="auto"/>
        <w:bottom w:val="none" w:sz="0" w:space="0" w:color="auto"/>
        <w:right w:val="none" w:sz="0" w:space="0" w:color="auto"/>
      </w:divBdr>
    </w:div>
    <w:div w:id="485779452">
      <w:bodyDiv w:val="1"/>
      <w:marLeft w:val="0"/>
      <w:marRight w:val="0"/>
      <w:marTop w:val="0"/>
      <w:marBottom w:val="0"/>
      <w:divBdr>
        <w:top w:val="none" w:sz="0" w:space="0" w:color="auto"/>
        <w:left w:val="none" w:sz="0" w:space="0" w:color="auto"/>
        <w:bottom w:val="none" w:sz="0" w:space="0" w:color="auto"/>
        <w:right w:val="none" w:sz="0" w:space="0" w:color="auto"/>
      </w:divBdr>
    </w:div>
    <w:div w:id="686179079">
      <w:bodyDiv w:val="1"/>
      <w:marLeft w:val="0"/>
      <w:marRight w:val="0"/>
      <w:marTop w:val="0"/>
      <w:marBottom w:val="0"/>
      <w:divBdr>
        <w:top w:val="none" w:sz="0" w:space="0" w:color="auto"/>
        <w:left w:val="none" w:sz="0" w:space="0" w:color="auto"/>
        <w:bottom w:val="none" w:sz="0" w:space="0" w:color="auto"/>
        <w:right w:val="none" w:sz="0" w:space="0" w:color="auto"/>
      </w:divBdr>
    </w:div>
    <w:div w:id="727147618">
      <w:bodyDiv w:val="1"/>
      <w:marLeft w:val="0"/>
      <w:marRight w:val="0"/>
      <w:marTop w:val="0"/>
      <w:marBottom w:val="0"/>
      <w:divBdr>
        <w:top w:val="none" w:sz="0" w:space="0" w:color="auto"/>
        <w:left w:val="none" w:sz="0" w:space="0" w:color="auto"/>
        <w:bottom w:val="none" w:sz="0" w:space="0" w:color="auto"/>
        <w:right w:val="none" w:sz="0" w:space="0" w:color="auto"/>
      </w:divBdr>
    </w:div>
    <w:div w:id="748892095">
      <w:bodyDiv w:val="1"/>
      <w:marLeft w:val="0"/>
      <w:marRight w:val="0"/>
      <w:marTop w:val="0"/>
      <w:marBottom w:val="0"/>
      <w:divBdr>
        <w:top w:val="none" w:sz="0" w:space="0" w:color="auto"/>
        <w:left w:val="none" w:sz="0" w:space="0" w:color="auto"/>
        <w:bottom w:val="none" w:sz="0" w:space="0" w:color="auto"/>
        <w:right w:val="none" w:sz="0" w:space="0" w:color="auto"/>
      </w:divBdr>
    </w:div>
    <w:div w:id="885531793">
      <w:bodyDiv w:val="1"/>
      <w:marLeft w:val="0"/>
      <w:marRight w:val="0"/>
      <w:marTop w:val="0"/>
      <w:marBottom w:val="0"/>
      <w:divBdr>
        <w:top w:val="none" w:sz="0" w:space="0" w:color="auto"/>
        <w:left w:val="none" w:sz="0" w:space="0" w:color="auto"/>
        <w:bottom w:val="none" w:sz="0" w:space="0" w:color="auto"/>
        <w:right w:val="none" w:sz="0" w:space="0" w:color="auto"/>
      </w:divBdr>
    </w:div>
    <w:div w:id="917786735">
      <w:bodyDiv w:val="1"/>
      <w:marLeft w:val="0"/>
      <w:marRight w:val="0"/>
      <w:marTop w:val="0"/>
      <w:marBottom w:val="0"/>
      <w:divBdr>
        <w:top w:val="none" w:sz="0" w:space="0" w:color="auto"/>
        <w:left w:val="none" w:sz="0" w:space="0" w:color="auto"/>
        <w:bottom w:val="none" w:sz="0" w:space="0" w:color="auto"/>
        <w:right w:val="none" w:sz="0" w:space="0" w:color="auto"/>
      </w:divBdr>
    </w:div>
    <w:div w:id="978806239">
      <w:bodyDiv w:val="1"/>
      <w:marLeft w:val="0"/>
      <w:marRight w:val="0"/>
      <w:marTop w:val="0"/>
      <w:marBottom w:val="0"/>
      <w:divBdr>
        <w:top w:val="none" w:sz="0" w:space="0" w:color="auto"/>
        <w:left w:val="none" w:sz="0" w:space="0" w:color="auto"/>
        <w:bottom w:val="none" w:sz="0" w:space="0" w:color="auto"/>
        <w:right w:val="none" w:sz="0" w:space="0" w:color="auto"/>
      </w:divBdr>
    </w:div>
    <w:div w:id="1095710997">
      <w:bodyDiv w:val="1"/>
      <w:marLeft w:val="0"/>
      <w:marRight w:val="0"/>
      <w:marTop w:val="0"/>
      <w:marBottom w:val="0"/>
      <w:divBdr>
        <w:top w:val="none" w:sz="0" w:space="0" w:color="auto"/>
        <w:left w:val="none" w:sz="0" w:space="0" w:color="auto"/>
        <w:bottom w:val="none" w:sz="0" w:space="0" w:color="auto"/>
        <w:right w:val="none" w:sz="0" w:space="0" w:color="auto"/>
      </w:divBdr>
    </w:div>
    <w:div w:id="1126854018">
      <w:bodyDiv w:val="1"/>
      <w:marLeft w:val="0"/>
      <w:marRight w:val="0"/>
      <w:marTop w:val="0"/>
      <w:marBottom w:val="0"/>
      <w:divBdr>
        <w:top w:val="none" w:sz="0" w:space="0" w:color="auto"/>
        <w:left w:val="none" w:sz="0" w:space="0" w:color="auto"/>
        <w:bottom w:val="none" w:sz="0" w:space="0" w:color="auto"/>
        <w:right w:val="none" w:sz="0" w:space="0" w:color="auto"/>
      </w:divBdr>
    </w:div>
    <w:div w:id="1157457675">
      <w:bodyDiv w:val="1"/>
      <w:marLeft w:val="0"/>
      <w:marRight w:val="0"/>
      <w:marTop w:val="0"/>
      <w:marBottom w:val="0"/>
      <w:divBdr>
        <w:top w:val="none" w:sz="0" w:space="0" w:color="auto"/>
        <w:left w:val="none" w:sz="0" w:space="0" w:color="auto"/>
        <w:bottom w:val="none" w:sz="0" w:space="0" w:color="auto"/>
        <w:right w:val="none" w:sz="0" w:space="0" w:color="auto"/>
      </w:divBdr>
      <w:divsChild>
        <w:div w:id="1537813952">
          <w:marLeft w:val="0"/>
          <w:marRight w:val="0"/>
          <w:marTop w:val="0"/>
          <w:marBottom w:val="0"/>
          <w:divBdr>
            <w:top w:val="none" w:sz="0" w:space="0" w:color="auto"/>
            <w:left w:val="none" w:sz="0" w:space="0" w:color="auto"/>
            <w:bottom w:val="none" w:sz="0" w:space="0" w:color="auto"/>
            <w:right w:val="none" w:sz="0" w:space="0" w:color="auto"/>
          </w:divBdr>
          <w:divsChild>
            <w:div w:id="1604603925">
              <w:marLeft w:val="0"/>
              <w:marRight w:val="0"/>
              <w:marTop w:val="0"/>
              <w:marBottom w:val="0"/>
              <w:divBdr>
                <w:top w:val="none" w:sz="0" w:space="0" w:color="auto"/>
                <w:left w:val="none" w:sz="0" w:space="0" w:color="auto"/>
                <w:bottom w:val="none" w:sz="0" w:space="0" w:color="auto"/>
                <w:right w:val="none" w:sz="0" w:space="0" w:color="auto"/>
              </w:divBdr>
              <w:divsChild>
                <w:div w:id="1765110107">
                  <w:marLeft w:val="0"/>
                  <w:marRight w:val="0"/>
                  <w:marTop w:val="0"/>
                  <w:marBottom w:val="0"/>
                  <w:divBdr>
                    <w:top w:val="none" w:sz="0" w:space="0" w:color="auto"/>
                    <w:left w:val="none" w:sz="0" w:space="0" w:color="auto"/>
                    <w:bottom w:val="none" w:sz="0" w:space="0" w:color="auto"/>
                    <w:right w:val="none" w:sz="0" w:space="0" w:color="auto"/>
                  </w:divBdr>
                  <w:divsChild>
                    <w:div w:id="389882308">
                      <w:marLeft w:val="0"/>
                      <w:marRight w:val="0"/>
                      <w:marTop w:val="0"/>
                      <w:marBottom w:val="0"/>
                      <w:divBdr>
                        <w:top w:val="none" w:sz="0" w:space="0" w:color="auto"/>
                        <w:left w:val="none" w:sz="0" w:space="0" w:color="auto"/>
                        <w:bottom w:val="none" w:sz="0" w:space="0" w:color="auto"/>
                        <w:right w:val="none" w:sz="0" w:space="0" w:color="auto"/>
                      </w:divBdr>
                      <w:divsChild>
                        <w:div w:id="1010915591">
                          <w:marLeft w:val="0"/>
                          <w:marRight w:val="0"/>
                          <w:marTop w:val="0"/>
                          <w:marBottom w:val="0"/>
                          <w:divBdr>
                            <w:top w:val="none" w:sz="0" w:space="0" w:color="auto"/>
                            <w:left w:val="none" w:sz="0" w:space="0" w:color="auto"/>
                            <w:bottom w:val="none" w:sz="0" w:space="0" w:color="auto"/>
                            <w:right w:val="none" w:sz="0" w:space="0" w:color="auto"/>
                          </w:divBdr>
                          <w:divsChild>
                            <w:div w:id="1299410089">
                              <w:marLeft w:val="0"/>
                              <w:marRight w:val="0"/>
                              <w:marTop w:val="0"/>
                              <w:marBottom w:val="0"/>
                              <w:divBdr>
                                <w:top w:val="none" w:sz="0" w:space="0" w:color="auto"/>
                                <w:left w:val="none" w:sz="0" w:space="0" w:color="auto"/>
                                <w:bottom w:val="none" w:sz="0" w:space="0" w:color="auto"/>
                                <w:right w:val="none" w:sz="0" w:space="0" w:color="auto"/>
                              </w:divBdr>
                              <w:divsChild>
                                <w:div w:id="2088653728">
                                  <w:marLeft w:val="0"/>
                                  <w:marRight w:val="0"/>
                                  <w:marTop w:val="0"/>
                                  <w:marBottom w:val="0"/>
                                  <w:divBdr>
                                    <w:top w:val="none" w:sz="0" w:space="0" w:color="auto"/>
                                    <w:left w:val="none" w:sz="0" w:space="0" w:color="auto"/>
                                    <w:bottom w:val="none" w:sz="0" w:space="0" w:color="auto"/>
                                    <w:right w:val="none" w:sz="0" w:space="0" w:color="auto"/>
                                  </w:divBdr>
                                  <w:divsChild>
                                    <w:div w:id="477066124">
                                      <w:marLeft w:val="0"/>
                                      <w:marRight w:val="0"/>
                                      <w:marTop w:val="0"/>
                                      <w:marBottom w:val="0"/>
                                      <w:divBdr>
                                        <w:top w:val="none" w:sz="0" w:space="0" w:color="auto"/>
                                        <w:left w:val="none" w:sz="0" w:space="0" w:color="auto"/>
                                        <w:bottom w:val="none" w:sz="0" w:space="0" w:color="auto"/>
                                        <w:right w:val="none" w:sz="0" w:space="0" w:color="auto"/>
                                      </w:divBdr>
                                      <w:divsChild>
                                        <w:div w:id="1483960665">
                                          <w:marLeft w:val="0"/>
                                          <w:marRight w:val="0"/>
                                          <w:marTop w:val="0"/>
                                          <w:marBottom w:val="0"/>
                                          <w:divBdr>
                                            <w:top w:val="none" w:sz="0" w:space="0" w:color="auto"/>
                                            <w:left w:val="none" w:sz="0" w:space="0" w:color="auto"/>
                                            <w:bottom w:val="none" w:sz="0" w:space="0" w:color="auto"/>
                                            <w:right w:val="none" w:sz="0" w:space="0" w:color="auto"/>
                                          </w:divBdr>
                                          <w:divsChild>
                                            <w:div w:id="1003628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075083">
      <w:bodyDiv w:val="1"/>
      <w:marLeft w:val="0"/>
      <w:marRight w:val="0"/>
      <w:marTop w:val="0"/>
      <w:marBottom w:val="0"/>
      <w:divBdr>
        <w:top w:val="none" w:sz="0" w:space="0" w:color="auto"/>
        <w:left w:val="none" w:sz="0" w:space="0" w:color="auto"/>
        <w:bottom w:val="none" w:sz="0" w:space="0" w:color="auto"/>
        <w:right w:val="none" w:sz="0" w:space="0" w:color="auto"/>
      </w:divBdr>
    </w:div>
    <w:div w:id="1465611673">
      <w:bodyDiv w:val="1"/>
      <w:marLeft w:val="0"/>
      <w:marRight w:val="0"/>
      <w:marTop w:val="0"/>
      <w:marBottom w:val="0"/>
      <w:divBdr>
        <w:top w:val="none" w:sz="0" w:space="0" w:color="auto"/>
        <w:left w:val="none" w:sz="0" w:space="0" w:color="auto"/>
        <w:bottom w:val="none" w:sz="0" w:space="0" w:color="auto"/>
        <w:right w:val="none" w:sz="0" w:space="0" w:color="auto"/>
      </w:divBdr>
    </w:div>
    <w:div w:id="1469589269">
      <w:bodyDiv w:val="1"/>
      <w:marLeft w:val="0"/>
      <w:marRight w:val="0"/>
      <w:marTop w:val="0"/>
      <w:marBottom w:val="0"/>
      <w:divBdr>
        <w:top w:val="none" w:sz="0" w:space="0" w:color="auto"/>
        <w:left w:val="none" w:sz="0" w:space="0" w:color="auto"/>
        <w:bottom w:val="none" w:sz="0" w:space="0" w:color="auto"/>
        <w:right w:val="none" w:sz="0" w:space="0" w:color="auto"/>
      </w:divBdr>
    </w:div>
    <w:div w:id="1558975859">
      <w:bodyDiv w:val="1"/>
      <w:marLeft w:val="0"/>
      <w:marRight w:val="0"/>
      <w:marTop w:val="0"/>
      <w:marBottom w:val="0"/>
      <w:divBdr>
        <w:top w:val="none" w:sz="0" w:space="0" w:color="auto"/>
        <w:left w:val="none" w:sz="0" w:space="0" w:color="auto"/>
        <w:bottom w:val="none" w:sz="0" w:space="0" w:color="auto"/>
        <w:right w:val="none" w:sz="0" w:space="0" w:color="auto"/>
      </w:divBdr>
    </w:div>
    <w:div w:id="1628732686">
      <w:bodyDiv w:val="1"/>
      <w:marLeft w:val="0"/>
      <w:marRight w:val="0"/>
      <w:marTop w:val="0"/>
      <w:marBottom w:val="0"/>
      <w:divBdr>
        <w:top w:val="none" w:sz="0" w:space="0" w:color="auto"/>
        <w:left w:val="none" w:sz="0" w:space="0" w:color="auto"/>
        <w:bottom w:val="none" w:sz="0" w:space="0" w:color="auto"/>
        <w:right w:val="none" w:sz="0" w:space="0" w:color="auto"/>
      </w:divBdr>
    </w:div>
    <w:div w:id="1659260367">
      <w:bodyDiv w:val="1"/>
      <w:marLeft w:val="0"/>
      <w:marRight w:val="0"/>
      <w:marTop w:val="0"/>
      <w:marBottom w:val="0"/>
      <w:divBdr>
        <w:top w:val="none" w:sz="0" w:space="0" w:color="auto"/>
        <w:left w:val="none" w:sz="0" w:space="0" w:color="auto"/>
        <w:bottom w:val="none" w:sz="0" w:space="0" w:color="auto"/>
        <w:right w:val="none" w:sz="0" w:space="0" w:color="auto"/>
      </w:divBdr>
    </w:div>
    <w:div w:id="1687823640">
      <w:bodyDiv w:val="1"/>
      <w:marLeft w:val="0"/>
      <w:marRight w:val="0"/>
      <w:marTop w:val="0"/>
      <w:marBottom w:val="0"/>
      <w:divBdr>
        <w:top w:val="none" w:sz="0" w:space="0" w:color="auto"/>
        <w:left w:val="none" w:sz="0" w:space="0" w:color="auto"/>
        <w:bottom w:val="none" w:sz="0" w:space="0" w:color="auto"/>
        <w:right w:val="none" w:sz="0" w:space="0" w:color="auto"/>
      </w:divBdr>
    </w:div>
    <w:div w:id="1813938078">
      <w:bodyDiv w:val="1"/>
      <w:marLeft w:val="0"/>
      <w:marRight w:val="0"/>
      <w:marTop w:val="0"/>
      <w:marBottom w:val="0"/>
      <w:divBdr>
        <w:top w:val="none" w:sz="0" w:space="0" w:color="auto"/>
        <w:left w:val="none" w:sz="0" w:space="0" w:color="auto"/>
        <w:bottom w:val="none" w:sz="0" w:space="0" w:color="auto"/>
        <w:right w:val="none" w:sz="0" w:space="0" w:color="auto"/>
      </w:divBdr>
    </w:div>
    <w:div w:id="1877741165">
      <w:bodyDiv w:val="1"/>
      <w:marLeft w:val="0"/>
      <w:marRight w:val="0"/>
      <w:marTop w:val="0"/>
      <w:marBottom w:val="0"/>
      <w:divBdr>
        <w:top w:val="none" w:sz="0" w:space="0" w:color="auto"/>
        <w:left w:val="none" w:sz="0" w:space="0" w:color="auto"/>
        <w:bottom w:val="none" w:sz="0" w:space="0" w:color="auto"/>
        <w:right w:val="none" w:sz="0" w:space="0" w:color="auto"/>
      </w:divBdr>
    </w:div>
    <w:div w:id="1918054512">
      <w:bodyDiv w:val="1"/>
      <w:marLeft w:val="0"/>
      <w:marRight w:val="0"/>
      <w:marTop w:val="0"/>
      <w:marBottom w:val="0"/>
      <w:divBdr>
        <w:top w:val="none" w:sz="0" w:space="0" w:color="auto"/>
        <w:left w:val="none" w:sz="0" w:space="0" w:color="auto"/>
        <w:bottom w:val="none" w:sz="0" w:space="0" w:color="auto"/>
        <w:right w:val="none" w:sz="0" w:space="0" w:color="auto"/>
      </w:divBdr>
    </w:div>
    <w:div w:id="2055959800">
      <w:bodyDiv w:val="1"/>
      <w:marLeft w:val="0"/>
      <w:marRight w:val="0"/>
      <w:marTop w:val="0"/>
      <w:marBottom w:val="0"/>
      <w:divBdr>
        <w:top w:val="none" w:sz="0" w:space="0" w:color="auto"/>
        <w:left w:val="none" w:sz="0" w:space="0" w:color="auto"/>
        <w:bottom w:val="none" w:sz="0" w:space="0" w:color="auto"/>
        <w:right w:val="none" w:sz="0" w:space="0" w:color="auto"/>
      </w:divBdr>
    </w:div>
    <w:div w:id="20832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beitsagentur.de" TargetMode="External"/><Relationship Id="rId4" Type="http://schemas.openxmlformats.org/officeDocument/2006/relationships/settings" Target="settings.xml"/><Relationship Id="rId9" Type="http://schemas.openxmlformats.org/officeDocument/2006/relationships/hyperlink" Target="mailto:stefan.geiss@jobcenter-ge.d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2398386C104BBFB13C34F85F7BC8D7"/>
        <w:category>
          <w:name w:val="Allgemein"/>
          <w:gallery w:val="placeholder"/>
        </w:category>
        <w:types>
          <w:type w:val="bbPlcHdr"/>
        </w:types>
        <w:behaviors>
          <w:behavior w:val="content"/>
        </w:behaviors>
        <w:guid w:val="{E15451A0-FD8B-4C8E-8113-CD907DD9C42C}"/>
      </w:docPartPr>
      <w:docPartBody>
        <w:p w:rsidR="00512ECD" w:rsidRDefault="00512ECD" w:rsidP="00512ECD">
          <w:pPr>
            <w:pStyle w:val="8C2398386C104BBFB13C34F85F7BC8D7"/>
          </w:pPr>
          <w:r>
            <w:t>[Geben Sie den Namen des Autors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CD"/>
    <w:rsid w:val="00512ECD"/>
    <w:rsid w:val="00824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C2398386C104BBFB13C34F85F7BC8D7">
    <w:name w:val="8C2398386C104BBFB13C34F85F7BC8D7"/>
    <w:rsid w:val="00512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B59B-A0AD-4D5A-BE09-8D225A5E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17359</Words>
  <Characters>109368</Characters>
  <Application>Microsoft Office Word</Application>
  <DocSecurity>0</DocSecurity>
  <Lines>911</Lines>
  <Paragraphs>252</Paragraphs>
  <ScaleCrop>false</ScaleCrop>
  <HeadingPairs>
    <vt:vector size="2" baseType="variant">
      <vt:variant>
        <vt:lpstr>Titel</vt:lpstr>
      </vt:variant>
      <vt:variant>
        <vt:i4>1</vt:i4>
      </vt:variant>
    </vt:vector>
  </HeadingPairs>
  <TitlesOfParts>
    <vt:vector size="1" baseType="lpstr">
      <vt:lpstr>Hinweise Kommunale Aufgaben JC PA Land</vt:lpstr>
    </vt:vector>
  </TitlesOfParts>
  <Company>Bundesagentur für Arbeit</Company>
  <LinksUpToDate>false</LinksUpToDate>
  <CharactersWithSpaces>126475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Kommunale Aufgaben JC PA Land</dc:title>
  <dc:creator>Jobcenter Passau Land</dc:creator>
  <cp:lastModifiedBy>Schweikl Johann</cp:lastModifiedBy>
  <cp:revision>47</cp:revision>
  <cp:lastPrinted>2016-12-21T12:53:00Z</cp:lastPrinted>
  <dcterms:created xsi:type="dcterms:W3CDTF">2016-02-24T08:07:00Z</dcterms:created>
  <dcterms:modified xsi:type="dcterms:W3CDTF">2016-12-21T13:32:00Z</dcterms:modified>
</cp:coreProperties>
</file>