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00" w:rsidRDefault="00520B42" w:rsidP="00EC472E">
      <w:pPr>
        <w:jc w:val="center"/>
        <w:rPr>
          <w:rFonts w:ascii="System" w:hAnsi="System" w:cs="System"/>
          <w:b/>
          <w:bCs/>
          <w:sz w:val="20"/>
        </w:rPr>
      </w:pPr>
      <w:r w:rsidRPr="00520B42">
        <w:rPr>
          <w:noProof/>
        </w:rPr>
        <w:drawing>
          <wp:anchor distT="0" distB="0" distL="114300" distR="114300" simplePos="0" relativeHeight="251659264" behindDoc="1" locked="0" layoutInCell="1" allowOverlap="1">
            <wp:simplePos x="0" y="0"/>
            <wp:positionH relativeFrom="column">
              <wp:posOffset>1921510</wp:posOffset>
            </wp:positionH>
            <wp:positionV relativeFrom="paragraph">
              <wp:posOffset>6985</wp:posOffset>
            </wp:positionV>
            <wp:extent cx="2590800" cy="581025"/>
            <wp:effectExtent l="19050" t="0" r="0" b="0"/>
            <wp:wrapNone/>
            <wp:docPr id="4" name="Bild 1" descr="Y:\Lokale Einstellungen\Anwendungsdaten\ba\bk\cache\aa\ba-logos\700_760\755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kale Einstellungen\Anwendungsdaten\ba\bk\cache\aa\ba-logos\700_760\75502.wmf"/>
                    <pic:cNvPicPr>
                      <a:picLocks noChangeAspect="1" noChangeArrowheads="1"/>
                    </pic:cNvPicPr>
                  </pic:nvPicPr>
                  <pic:blipFill>
                    <a:blip r:embed="rId8" cstate="print"/>
                    <a:srcRect b="-1105"/>
                    <a:stretch>
                      <a:fillRect/>
                    </a:stretch>
                  </pic:blipFill>
                  <pic:spPr bwMode="auto">
                    <a:xfrm>
                      <a:off x="0" y="0"/>
                      <a:ext cx="2590800" cy="581025"/>
                    </a:xfrm>
                    <a:prstGeom prst="rect">
                      <a:avLst/>
                    </a:prstGeom>
                    <a:noFill/>
                    <a:ln w="9525">
                      <a:noFill/>
                      <a:miter lim="800000"/>
                      <a:headEnd/>
                      <a:tailEnd/>
                    </a:ln>
                  </pic:spPr>
                </pic:pic>
              </a:graphicData>
            </a:graphic>
          </wp:anchor>
        </w:drawing>
      </w:r>
    </w:p>
    <w:p w:rsidR="00EC472E" w:rsidRDefault="00EC472E" w:rsidP="00EC472E">
      <w:pPr>
        <w:jc w:val="center"/>
        <w:rPr>
          <w:rFonts w:ascii="System" w:hAnsi="System" w:cs="System"/>
          <w:b/>
          <w:bCs/>
          <w:sz w:val="20"/>
        </w:rPr>
      </w:pPr>
    </w:p>
    <w:p w:rsidR="00F60F6B" w:rsidRDefault="00F60F6B" w:rsidP="00EC472E">
      <w:pPr>
        <w:jc w:val="center"/>
        <w:rPr>
          <w:rFonts w:ascii="System" w:hAnsi="System" w:cs="System"/>
          <w:b/>
          <w:bCs/>
          <w:sz w:val="20"/>
        </w:rPr>
      </w:pPr>
    </w:p>
    <w:p w:rsidR="00520B42" w:rsidRDefault="00520B42" w:rsidP="00EC472E">
      <w:pPr>
        <w:jc w:val="center"/>
        <w:rPr>
          <w:rFonts w:asciiTheme="minorHAnsi" w:hAnsiTheme="minorHAnsi" w:cs="System"/>
          <w:b/>
          <w:bCs/>
          <w:sz w:val="36"/>
          <w:szCs w:val="36"/>
        </w:rPr>
      </w:pPr>
    </w:p>
    <w:p w:rsidR="00520B42" w:rsidRDefault="00520B42" w:rsidP="00EC472E">
      <w:pPr>
        <w:jc w:val="center"/>
        <w:rPr>
          <w:rFonts w:asciiTheme="minorHAnsi" w:hAnsiTheme="minorHAnsi" w:cs="System"/>
          <w:b/>
          <w:bCs/>
          <w:sz w:val="36"/>
          <w:szCs w:val="36"/>
        </w:rPr>
      </w:pPr>
    </w:p>
    <w:p w:rsidR="00EC472E" w:rsidRPr="002379B9" w:rsidRDefault="00EC472E" w:rsidP="00EC472E">
      <w:pPr>
        <w:jc w:val="center"/>
        <w:rPr>
          <w:rFonts w:asciiTheme="minorHAnsi" w:hAnsiTheme="minorHAnsi" w:cs="System"/>
          <w:b/>
          <w:bCs/>
          <w:sz w:val="36"/>
          <w:szCs w:val="36"/>
        </w:rPr>
      </w:pPr>
      <w:r w:rsidRPr="002379B9">
        <w:rPr>
          <w:rFonts w:asciiTheme="minorHAnsi" w:hAnsiTheme="minorHAnsi" w:cs="System"/>
          <w:b/>
          <w:bCs/>
          <w:sz w:val="36"/>
          <w:szCs w:val="36"/>
        </w:rPr>
        <w:t xml:space="preserve">Ermessenslenkende </w:t>
      </w:r>
      <w:r w:rsidR="001F6D52">
        <w:rPr>
          <w:rFonts w:asciiTheme="minorHAnsi" w:hAnsiTheme="minorHAnsi" w:cs="System"/>
          <w:b/>
          <w:bCs/>
          <w:sz w:val="36"/>
          <w:szCs w:val="36"/>
        </w:rPr>
        <w:t>Hinweise</w:t>
      </w:r>
      <w:r w:rsidRPr="002379B9">
        <w:rPr>
          <w:rFonts w:asciiTheme="minorHAnsi" w:hAnsiTheme="minorHAnsi" w:cs="System"/>
          <w:b/>
          <w:bCs/>
          <w:sz w:val="36"/>
          <w:szCs w:val="36"/>
        </w:rPr>
        <w:t xml:space="preserve"> zum Bereich</w:t>
      </w:r>
    </w:p>
    <w:p w:rsidR="00EC472E" w:rsidRPr="002379B9" w:rsidRDefault="00EC472E" w:rsidP="00EC472E">
      <w:pPr>
        <w:spacing w:line="360" w:lineRule="auto"/>
        <w:jc w:val="center"/>
        <w:rPr>
          <w:rFonts w:asciiTheme="minorHAnsi" w:hAnsiTheme="minorHAnsi" w:cs="System"/>
          <w:b/>
          <w:bCs/>
          <w:sz w:val="36"/>
          <w:szCs w:val="36"/>
        </w:rPr>
      </w:pPr>
      <w:r w:rsidRPr="002379B9">
        <w:rPr>
          <w:rFonts w:asciiTheme="minorHAnsi" w:hAnsiTheme="minorHAnsi" w:cs="System"/>
          <w:b/>
          <w:bCs/>
          <w:sz w:val="36"/>
          <w:szCs w:val="36"/>
        </w:rPr>
        <w:t>„Leistungen zur Eingliederung in Arbeit“</w:t>
      </w:r>
    </w:p>
    <w:p w:rsidR="00EC472E" w:rsidRPr="002379B9" w:rsidRDefault="005A4D27" w:rsidP="00EC472E">
      <w:pPr>
        <w:jc w:val="center"/>
        <w:rPr>
          <w:rFonts w:asciiTheme="minorHAnsi" w:hAnsiTheme="minorHAnsi" w:cs="System"/>
          <w:bCs/>
        </w:rPr>
      </w:pPr>
      <w:r w:rsidRPr="002379B9">
        <w:rPr>
          <w:rFonts w:asciiTheme="minorHAnsi" w:hAnsiTheme="minorHAnsi" w:cs="System"/>
          <w:bCs/>
        </w:rPr>
        <w:t xml:space="preserve">(Stand: </w:t>
      </w:r>
      <w:r w:rsidR="001F6D52">
        <w:rPr>
          <w:rFonts w:asciiTheme="minorHAnsi" w:hAnsiTheme="minorHAnsi" w:cs="System"/>
          <w:bCs/>
        </w:rPr>
        <w:t>01.11</w:t>
      </w:r>
      <w:r w:rsidR="00AE6048">
        <w:rPr>
          <w:rFonts w:asciiTheme="minorHAnsi" w:hAnsiTheme="minorHAnsi" w:cs="System"/>
          <w:bCs/>
        </w:rPr>
        <w:t>.2016</w:t>
      </w:r>
      <w:r w:rsidR="00EC472E" w:rsidRPr="002379B9">
        <w:rPr>
          <w:rFonts w:asciiTheme="minorHAnsi" w:hAnsiTheme="minorHAnsi" w:cs="System"/>
          <w:bCs/>
        </w:rPr>
        <w:t>)</w:t>
      </w:r>
    </w:p>
    <w:p w:rsidR="00C77C07" w:rsidRPr="002379B9" w:rsidRDefault="00C77C07" w:rsidP="005A4D27">
      <w:pPr>
        <w:rPr>
          <w:rFonts w:asciiTheme="minorHAnsi" w:hAnsiTheme="minorHAnsi" w:cs="System"/>
          <w:bCs/>
        </w:rPr>
      </w:pPr>
    </w:p>
    <w:p w:rsidR="003432CD" w:rsidRPr="002379B9" w:rsidRDefault="003432CD" w:rsidP="00E24546">
      <w:pPr>
        <w:jc w:val="both"/>
        <w:rPr>
          <w:rStyle w:val="feldname1"/>
          <w:rFonts w:asciiTheme="minorHAnsi" w:hAnsiTheme="minorHAnsi"/>
          <w:b w:val="0"/>
          <w:color w:val="000000"/>
          <w:sz w:val="22"/>
          <w:szCs w:val="22"/>
        </w:rPr>
      </w:pPr>
    </w:p>
    <w:p w:rsidR="00EC472E" w:rsidRPr="002379B9" w:rsidRDefault="0008330D" w:rsidP="0008330D">
      <w:pPr>
        <w:jc w:val="center"/>
        <w:rPr>
          <w:rStyle w:val="feldname1"/>
          <w:rFonts w:asciiTheme="minorHAnsi" w:hAnsiTheme="minorHAnsi"/>
          <w:b w:val="0"/>
          <w:color w:val="FF0000"/>
          <w:u w:val="single"/>
        </w:rPr>
      </w:pPr>
      <w:r w:rsidRPr="002379B9">
        <w:rPr>
          <w:rStyle w:val="feldname1"/>
          <w:rFonts w:asciiTheme="minorHAnsi" w:hAnsiTheme="minorHAnsi"/>
          <w:b w:val="0"/>
          <w:color w:val="FF0000"/>
          <w:u w:val="single"/>
        </w:rPr>
        <w:t>Nur für den internen Dienstgebrauch!!</w:t>
      </w:r>
    </w:p>
    <w:p w:rsidR="002379B9" w:rsidRDefault="002379B9" w:rsidP="00310B5B">
      <w:pPr>
        <w:spacing w:line="360" w:lineRule="auto"/>
        <w:jc w:val="both"/>
        <w:rPr>
          <w:rFonts w:asciiTheme="minorHAnsi" w:hAnsiTheme="minorHAnsi" w:cs="System"/>
          <w:bCs/>
          <w:sz w:val="22"/>
          <w:szCs w:val="22"/>
          <w:u w:val="single"/>
        </w:rPr>
      </w:pPr>
    </w:p>
    <w:p w:rsidR="00007AF8" w:rsidRPr="002379B9" w:rsidRDefault="005E0072" w:rsidP="00310B5B">
      <w:pPr>
        <w:spacing w:line="360" w:lineRule="auto"/>
        <w:jc w:val="both"/>
        <w:rPr>
          <w:rFonts w:asciiTheme="minorHAnsi" w:hAnsiTheme="minorHAnsi" w:cs="System"/>
          <w:bCs/>
          <w:sz w:val="22"/>
          <w:szCs w:val="22"/>
          <w:u w:val="single"/>
        </w:rPr>
      </w:pPr>
      <w:r w:rsidRPr="002379B9">
        <w:rPr>
          <w:rFonts w:asciiTheme="minorHAnsi" w:hAnsiTheme="minorHAnsi" w:cs="System"/>
          <w:bCs/>
          <w:sz w:val="22"/>
          <w:szCs w:val="22"/>
          <w:u w:val="single"/>
        </w:rPr>
        <w:t>Vorwort:</w:t>
      </w:r>
    </w:p>
    <w:p w:rsidR="005E0072" w:rsidRPr="002379B9" w:rsidRDefault="005E0072"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t>Die folgenden Weisungen s</w:t>
      </w:r>
      <w:r w:rsidR="00460C7E" w:rsidRPr="002379B9">
        <w:rPr>
          <w:rFonts w:asciiTheme="minorHAnsi" w:hAnsiTheme="minorHAnsi" w:cs="System"/>
          <w:bCs/>
          <w:sz w:val="22"/>
          <w:szCs w:val="22"/>
        </w:rPr>
        <w:t>ollen den Ermessensspielraum des</w:t>
      </w:r>
      <w:r w:rsidRPr="002379B9">
        <w:rPr>
          <w:rFonts w:asciiTheme="minorHAnsi" w:hAnsiTheme="minorHAnsi" w:cs="System"/>
          <w:bCs/>
          <w:sz w:val="22"/>
          <w:szCs w:val="22"/>
        </w:rPr>
        <w:t xml:space="preserve"> </w:t>
      </w:r>
      <w:r w:rsidR="00460C7E" w:rsidRPr="002379B9">
        <w:rPr>
          <w:rFonts w:asciiTheme="minorHAnsi" w:hAnsiTheme="minorHAnsi" w:cs="System"/>
          <w:bCs/>
          <w:sz w:val="22"/>
          <w:szCs w:val="22"/>
        </w:rPr>
        <w:t>Jobcenters</w:t>
      </w:r>
      <w:r w:rsidRPr="002379B9">
        <w:rPr>
          <w:rFonts w:asciiTheme="minorHAnsi" w:hAnsiTheme="minorHAnsi" w:cs="System"/>
          <w:bCs/>
          <w:sz w:val="22"/>
          <w:szCs w:val="22"/>
        </w:rPr>
        <w:t xml:space="preserve"> Weißenburg-Gunzenhausen bei bestimmten Leistungen/Maßnahmen zur Eingliederung in Arbeit für den Bere</w:t>
      </w:r>
      <w:r w:rsidR="00423EE7" w:rsidRPr="002379B9">
        <w:rPr>
          <w:rFonts w:asciiTheme="minorHAnsi" w:hAnsiTheme="minorHAnsi" w:cs="System"/>
          <w:bCs/>
          <w:sz w:val="22"/>
          <w:szCs w:val="22"/>
        </w:rPr>
        <w:t xml:space="preserve">ich 32*/341 verbindlich regeln. </w:t>
      </w:r>
      <w:r w:rsidRPr="002379B9">
        <w:rPr>
          <w:rFonts w:asciiTheme="minorHAnsi" w:hAnsiTheme="minorHAnsi" w:cs="System"/>
          <w:bCs/>
          <w:sz w:val="22"/>
          <w:szCs w:val="22"/>
        </w:rPr>
        <w:t xml:space="preserve">Diese Weisungen stehen </w:t>
      </w:r>
      <w:r w:rsidR="00550773" w:rsidRPr="002379B9">
        <w:rPr>
          <w:rFonts w:asciiTheme="minorHAnsi" w:hAnsiTheme="minorHAnsi" w:cs="System"/>
          <w:bCs/>
          <w:sz w:val="22"/>
          <w:szCs w:val="22"/>
        </w:rPr>
        <w:t xml:space="preserve">jedoch </w:t>
      </w:r>
      <w:r w:rsidRPr="002379B9">
        <w:rPr>
          <w:rFonts w:asciiTheme="minorHAnsi" w:hAnsiTheme="minorHAnsi" w:cs="System"/>
          <w:bCs/>
          <w:sz w:val="22"/>
          <w:szCs w:val="22"/>
        </w:rPr>
        <w:t>den gesetzlichen Bestimmungen des SGB II bzw. SGB III sowie den dazugehörigen fachlichen Hinweisen/Geschäftsanweisungen nach, d.h. sie dienen lediglich zur Ergänzung/Ausgestaltung im Rahmen des zulässigen Ermessensspielraums de</w:t>
      </w:r>
      <w:r w:rsidR="00B74E43" w:rsidRPr="002379B9">
        <w:rPr>
          <w:rFonts w:asciiTheme="minorHAnsi" w:hAnsiTheme="minorHAnsi" w:cs="System"/>
          <w:bCs/>
          <w:sz w:val="22"/>
          <w:szCs w:val="22"/>
        </w:rPr>
        <w:t>s Jobcenters</w:t>
      </w:r>
      <w:r w:rsidRPr="002379B9">
        <w:rPr>
          <w:rFonts w:asciiTheme="minorHAnsi" w:hAnsiTheme="minorHAnsi" w:cs="System"/>
          <w:bCs/>
          <w:sz w:val="22"/>
          <w:szCs w:val="22"/>
        </w:rPr>
        <w:t>.</w:t>
      </w:r>
    </w:p>
    <w:p w:rsidR="00423EE7" w:rsidRPr="002379B9" w:rsidRDefault="00423EE7" w:rsidP="00310B5B">
      <w:pPr>
        <w:spacing w:line="360" w:lineRule="auto"/>
        <w:jc w:val="both"/>
        <w:rPr>
          <w:rFonts w:asciiTheme="minorHAnsi" w:hAnsiTheme="minorHAnsi" w:cs="System"/>
          <w:bCs/>
          <w:sz w:val="22"/>
          <w:szCs w:val="22"/>
        </w:rPr>
      </w:pPr>
    </w:p>
    <w:p w:rsidR="00423EE7" w:rsidRPr="002379B9" w:rsidRDefault="00423EE7" w:rsidP="00310B5B">
      <w:pPr>
        <w:spacing w:line="360" w:lineRule="auto"/>
        <w:jc w:val="both"/>
        <w:rPr>
          <w:rFonts w:asciiTheme="minorHAnsi" w:hAnsiTheme="minorHAnsi" w:cs="System"/>
          <w:bCs/>
          <w:sz w:val="22"/>
          <w:szCs w:val="22"/>
          <w:u w:val="single"/>
        </w:rPr>
      </w:pPr>
      <w:r w:rsidRPr="002379B9">
        <w:rPr>
          <w:rFonts w:asciiTheme="minorHAnsi" w:hAnsiTheme="minorHAnsi" w:cs="System"/>
          <w:bCs/>
          <w:sz w:val="22"/>
          <w:szCs w:val="22"/>
          <w:u w:val="single"/>
        </w:rPr>
        <w:t>Grundsätze:</w:t>
      </w:r>
    </w:p>
    <w:p w:rsidR="00423EE7" w:rsidRPr="002379B9" w:rsidRDefault="00423EE7" w:rsidP="00310B5B">
      <w:pPr>
        <w:numPr>
          <w:ilvl w:val="0"/>
          <w:numId w:val="3"/>
        </w:numPr>
        <w:tabs>
          <w:tab w:val="clear" w:pos="720"/>
          <w:tab w:val="num" w:pos="360"/>
        </w:tabs>
        <w:spacing w:line="360" w:lineRule="auto"/>
        <w:ind w:left="360"/>
        <w:jc w:val="both"/>
        <w:rPr>
          <w:rFonts w:asciiTheme="minorHAnsi" w:hAnsiTheme="minorHAnsi" w:cs="System"/>
          <w:bCs/>
          <w:sz w:val="22"/>
          <w:szCs w:val="22"/>
        </w:rPr>
      </w:pPr>
      <w:r w:rsidRPr="002379B9">
        <w:rPr>
          <w:rFonts w:asciiTheme="minorHAnsi" w:hAnsiTheme="minorHAnsi" w:cs="System"/>
          <w:bCs/>
          <w:sz w:val="22"/>
          <w:szCs w:val="22"/>
        </w:rPr>
        <w:t>Es dürfen keine Leistungen vor Antragstellung u</w:t>
      </w:r>
      <w:r w:rsidR="00CB7C2A" w:rsidRPr="002379B9">
        <w:rPr>
          <w:rFonts w:asciiTheme="minorHAnsi" w:hAnsiTheme="minorHAnsi" w:cs="System"/>
          <w:bCs/>
          <w:sz w:val="22"/>
          <w:szCs w:val="22"/>
        </w:rPr>
        <w:t>nd ohne Antragstellung erfolgen</w:t>
      </w:r>
    </w:p>
    <w:p w:rsidR="00CB7C2A" w:rsidRPr="002379B9" w:rsidRDefault="00CB7C2A" w:rsidP="00310B5B">
      <w:pPr>
        <w:numPr>
          <w:ilvl w:val="0"/>
          <w:numId w:val="3"/>
        </w:numPr>
        <w:tabs>
          <w:tab w:val="clear" w:pos="720"/>
          <w:tab w:val="num" w:pos="360"/>
        </w:tabs>
        <w:spacing w:line="360" w:lineRule="auto"/>
        <w:ind w:left="360"/>
        <w:jc w:val="both"/>
        <w:rPr>
          <w:rFonts w:asciiTheme="minorHAnsi" w:hAnsiTheme="minorHAnsi" w:cs="System"/>
          <w:bCs/>
          <w:sz w:val="22"/>
          <w:szCs w:val="22"/>
        </w:rPr>
      </w:pPr>
      <w:r w:rsidRPr="002379B9">
        <w:rPr>
          <w:rFonts w:asciiTheme="minorHAnsi" w:hAnsiTheme="minorHAnsi" w:cs="System"/>
          <w:bCs/>
          <w:sz w:val="22"/>
          <w:szCs w:val="22"/>
        </w:rPr>
        <w:t>Die Haushaltsgrundsätze der Wirtschaftlichkeit und Sparsamkeit sind zu beachten</w:t>
      </w:r>
    </w:p>
    <w:p w:rsidR="00CB7C2A" w:rsidRPr="002379B9" w:rsidRDefault="00CB7C2A" w:rsidP="00310B5B">
      <w:pPr>
        <w:numPr>
          <w:ilvl w:val="0"/>
          <w:numId w:val="3"/>
        </w:numPr>
        <w:tabs>
          <w:tab w:val="clear" w:pos="720"/>
          <w:tab w:val="num" w:pos="360"/>
        </w:tabs>
        <w:spacing w:line="360" w:lineRule="auto"/>
        <w:ind w:left="360"/>
        <w:jc w:val="both"/>
        <w:rPr>
          <w:rFonts w:asciiTheme="minorHAnsi" w:hAnsiTheme="minorHAnsi" w:cs="System"/>
          <w:bCs/>
          <w:sz w:val="22"/>
          <w:szCs w:val="22"/>
        </w:rPr>
      </w:pPr>
      <w:r w:rsidRPr="002379B9">
        <w:rPr>
          <w:rFonts w:asciiTheme="minorHAnsi" w:hAnsiTheme="minorHAnsi" w:cs="System"/>
          <w:bCs/>
          <w:sz w:val="22"/>
          <w:szCs w:val="22"/>
        </w:rPr>
        <w:t>Die Gewährung von Ermessensleistungen ist grundsätzlich abhängig vom zur Verfügung stehenden Budget im Eingliederungstitel</w:t>
      </w:r>
      <w:r w:rsidR="00225E4F" w:rsidRPr="002379B9">
        <w:rPr>
          <w:rFonts w:asciiTheme="minorHAnsi" w:hAnsiTheme="minorHAnsi" w:cs="System"/>
          <w:bCs/>
          <w:sz w:val="22"/>
          <w:szCs w:val="22"/>
        </w:rPr>
        <w:t xml:space="preserve"> </w:t>
      </w:r>
      <w:r w:rsidR="00460C7E" w:rsidRPr="002379B9">
        <w:rPr>
          <w:rFonts w:asciiTheme="minorHAnsi" w:hAnsiTheme="minorHAnsi" w:cs="System"/>
          <w:bCs/>
          <w:sz w:val="22"/>
          <w:szCs w:val="22"/>
        </w:rPr>
        <w:t>des Jobcenters.</w:t>
      </w:r>
    </w:p>
    <w:p w:rsidR="00423EE7" w:rsidRPr="002379B9" w:rsidRDefault="00423EE7" w:rsidP="00310B5B">
      <w:pPr>
        <w:spacing w:line="360" w:lineRule="auto"/>
        <w:jc w:val="both"/>
        <w:rPr>
          <w:rFonts w:asciiTheme="minorHAnsi" w:hAnsiTheme="minorHAnsi" w:cs="System"/>
          <w:bCs/>
          <w:sz w:val="22"/>
          <w:szCs w:val="22"/>
        </w:rPr>
      </w:pPr>
    </w:p>
    <w:p w:rsidR="005E0072" w:rsidRPr="002379B9" w:rsidRDefault="005E0072" w:rsidP="00310B5B">
      <w:pPr>
        <w:spacing w:line="360" w:lineRule="auto"/>
        <w:jc w:val="both"/>
        <w:rPr>
          <w:rFonts w:asciiTheme="minorHAnsi" w:hAnsiTheme="minorHAnsi" w:cs="System"/>
          <w:bCs/>
          <w:sz w:val="22"/>
          <w:szCs w:val="22"/>
        </w:rPr>
      </w:pPr>
    </w:p>
    <w:p w:rsidR="005A4D27" w:rsidRPr="002379B9" w:rsidRDefault="005E0072" w:rsidP="00310B5B">
      <w:pPr>
        <w:spacing w:line="360" w:lineRule="auto"/>
        <w:jc w:val="both"/>
        <w:rPr>
          <w:rFonts w:asciiTheme="minorHAnsi" w:hAnsiTheme="minorHAnsi" w:cs="System"/>
          <w:b/>
          <w:bCs/>
          <w:sz w:val="32"/>
          <w:szCs w:val="32"/>
          <w:u w:val="single"/>
        </w:rPr>
      </w:pPr>
      <w:r w:rsidRPr="002379B9">
        <w:rPr>
          <w:rFonts w:asciiTheme="minorHAnsi" w:hAnsiTheme="minorHAnsi" w:cs="System"/>
          <w:b/>
          <w:bCs/>
          <w:sz w:val="32"/>
          <w:szCs w:val="32"/>
          <w:u w:val="single"/>
        </w:rPr>
        <w:t>Einstiegsgeld</w:t>
      </w:r>
      <w:r w:rsidR="00E7471E" w:rsidRPr="002379B9">
        <w:rPr>
          <w:rFonts w:asciiTheme="minorHAnsi" w:hAnsiTheme="minorHAnsi" w:cs="System"/>
          <w:b/>
          <w:bCs/>
          <w:sz w:val="32"/>
          <w:szCs w:val="32"/>
          <w:u w:val="single"/>
        </w:rPr>
        <w:t xml:space="preserve"> (ESG)</w:t>
      </w:r>
      <w:r w:rsidR="002379B9">
        <w:rPr>
          <w:rFonts w:asciiTheme="minorHAnsi" w:hAnsiTheme="minorHAnsi" w:cs="System"/>
          <w:b/>
          <w:bCs/>
          <w:sz w:val="32"/>
          <w:szCs w:val="32"/>
          <w:u w:val="single"/>
        </w:rPr>
        <w:t xml:space="preserve"> - Allgemein</w:t>
      </w:r>
      <w:r w:rsidRPr="002379B9">
        <w:rPr>
          <w:rFonts w:asciiTheme="minorHAnsi" w:hAnsiTheme="minorHAnsi" w:cs="System"/>
          <w:b/>
          <w:bCs/>
          <w:sz w:val="32"/>
          <w:szCs w:val="32"/>
          <w:u w:val="single"/>
        </w:rPr>
        <w:t>:</w:t>
      </w:r>
    </w:p>
    <w:p w:rsidR="00550773" w:rsidRPr="002379B9" w:rsidRDefault="00550773" w:rsidP="00310B5B">
      <w:pPr>
        <w:spacing w:line="360" w:lineRule="auto"/>
        <w:jc w:val="both"/>
        <w:rPr>
          <w:rFonts w:asciiTheme="minorHAnsi" w:hAnsiTheme="minorHAnsi" w:cs="System"/>
          <w:bCs/>
          <w:sz w:val="22"/>
          <w:szCs w:val="22"/>
          <w:u w:val="single"/>
        </w:rPr>
      </w:pPr>
    </w:p>
    <w:p w:rsidR="005E0072" w:rsidRDefault="00550773"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u w:val="single"/>
        </w:rPr>
        <w:t>Rechtsgrundlage:</w:t>
      </w:r>
      <w:r w:rsidRPr="002379B9">
        <w:rPr>
          <w:rFonts w:asciiTheme="minorHAnsi" w:hAnsiTheme="minorHAnsi" w:cs="System"/>
          <w:bCs/>
          <w:sz w:val="22"/>
          <w:szCs w:val="22"/>
        </w:rPr>
        <w:t xml:space="preserve"> § 16 </w:t>
      </w:r>
      <w:r w:rsidR="00293227" w:rsidRPr="002379B9">
        <w:rPr>
          <w:rFonts w:asciiTheme="minorHAnsi" w:hAnsiTheme="minorHAnsi" w:cs="System"/>
          <w:bCs/>
          <w:sz w:val="22"/>
          <w:szCs w:val="22"/>
        </w:rPr>
        <w:t xml:space="preserve">b </w:t>
      </w:r>
      <w:r w:rsidRPr="002379B9">
        <w:rPr>
          <w:rFonts w:asciiTheme="minorHAnsi" w:hAnsiTheme="minorHAnsi" w:cs="System"/>
          <w:bCs/>
          <w:sz w:val="22"/>
          <w:szCs w:val="22"/>
        </w:rPr>
        <w:t>SGB II</w:t>
      </w:r>
    </w:p>
    <w:p w:rsidR="00AE6048" w:rsidRPr="002379B9" w:rsidRDefault="00AE6048" w:rsidP="00310B5B">
      <w:pPr>
        <w:spacing w:line="360" w:lineRule="auto"/>
        <w:jc w:val="both"/>
        <w:rPr>
          <w:rFonts w:asciiTheme="minorHAnsi" w:hAnsiTheme="minorHAnsi" w:cs="System"/>
          <w:bCs/>
          <w:sz w:val="22"/>
          <w:szCs w:val="22"/>
        </w:rPr>
      </w:pPr>
    </w:p>
    <w:p w:rsidR="002379B9" w:rsidRDefault="002379B9" w:rsidP="002379B9">
      <w:pPr>
        <w:spacing w:line="360" w:lineRule="auto"/>
        <w:jc w:val="both"/>
        <w:rPr>
          <w:rFonts w:asciiTheme="minorHAnsi" w:hAnsiTheme="minorHAnsi" w:cs="System"/>
          <w:bCs/>
          <w:sz w:val="22"/>
          <w:szCs w:val="22"/>
        </w:rPr>
      </w:pPr>
      <w:bookmarkStart w:id="0" w:name="_GoBack"/>
      <w:bookmarkEnd w:id="0"/>
    </w:p>
    <w:p w:rsidR="002379B9" w:rsidRDefault="002379B9" w:rsidP="00AA60E2">
      <w:pPr>
        <w:spacing w:line="360" w:lineRule="auto"/>
        <w:jc w:val="both"/>
        <w:rPr>
          <w:rFonts w:asciiTheme="minorHAnsi" w:hAnsiTheme="minorHAnsi" w:cs="System"/>
          <w:b/>
          <w:bCs/>
          <w:sz w:val="32"/>
          <w:szCs w:val="32"/>
          <w:u w:val="single"/>
        </w:rPr>
      </w:pPr>
      <w:r w:rsidRPr="00AA60E2">
        <w:rPr>
          <w:rFonts w:asciiTheme="minorHAnsi" w:hAnsiTheme="minorHAnsi" w:cs="System"/>
          <w:b/>
          <w:bCs/>
          <w:sz w:val="32"/>
          <w:szCs w:val="32"/>
          <w:u w:val="single"/>
        </w:rPr>
        <w:t>Einstiegsgeld (ESG) für selbstständige Tätigkeit:</w:t>
      </w:r>
    </w:p>
    <w:p w:rsidR="005908D7" w:rsidRPr="001D58CE" w:rsidRDefault="005908D7" w:rsidP="005908D7">
      <w:pPr>
        <w:spacing w:line="360" w:lineRule="auto"/>
        <w:jc w:val="both"/>
        <w:rPr>
          <w:rFonts w:asciiTheme="minorHAnsi" w:hAnsiTheme="minorHAnsi" w:cs="System"/>
          <w:bCs/>
          <w:i/>
          <w:sz w:val="22"/>
          <w:szCs w:val="22"/>
        </w:rPr>
      </w:pPr>
      <w:r w:rsidRPr="001D58CE">
        <w:rPr>
          <w:rFonts w:asciiTheme="minorHAnsi" w:hAnsiTheme="minorHAnsi" w:cs="System"/>
          <w:bCs/>
          <w:i/>
          <w:sz w:val="22"/>
          <w:szCs w:val="22"/>
        </w:rPr>
        <w:t>Die Förderung soll restriktiv behandelt werden.</w:t>
      </w:r>
    </w:p>
    <w:p w:rsidR="005908D7" w:rsidRPr="002379B9" w:rsidRDefault="005908D7" w:rsidP="005908D7">
      <w:pPr>
        <w:spacing w:line="360" w:lineRule="auto"/>
        <w:jc w:val="both"/>
        <w:rPr>
          <w:rFonts w:asciiTheme="minorHAnsi" w:hAnsiTheme="minorHAnsi" w:cs="System"/>
          <w:bCs/>
          <w:sz w:val="22"/>
          <w:szCs w:val="22"/>
          <w:u w:val="single"/>
        </w:rPr>
      </w:pPr>
      <w:r w:rsidRPr="002379B9">
        <w:rPr>
          <w:rFonts w:asciiTheme="minorHAnsi" w:hAnsiTheme="minorHAnsi" w:cs="System"/>
          <w:bCs/>
          <w:sz w:val="22"/>
          <w:szCs w:val="22"/>
          <w:u w:val="single"/>
        </w:rPr>
        <w:t xml:space="preserve">Förderfähiger Personenkreis: </w:t>
      </w:r>
    </w:p>
    <w:p w:rsidR="005908D7" w:rsidRPr="002379B9" w:rsidRDefault="005908D7" w:rsidP="005908D7">
      <w:pPr>
        <w:spacing w:line="360" w:lineRule="auto"/>
        <w:jc w:val="both"/>
        <w:rPr>
          <w:rFonts w:asciiTheme="minorHAnsi" w:hAnsiTheme="minorHAnsi" w:cs="System"/>
          <w:bCs/>
          <w:sz w:val="22"/>
          <w:szCs w:val="22"/>
        </w:rPr>
      </w:pPr>
      <w:proofErr w:type="spellStart"/>
      <w:r w:rsidRPr="002379B9">
        <w:rPr>
          <w:rFonts w:asciiTheme="minorHAnsi" w:hAnsiTheme="minorHAnsi" w:cs="System"/>
          <w:bCs/>
          <w:sz w:val="22"/>
          <w:szCs w:val="22"/>
        </w:rPr>
        <w:t>EHbs</w:t>
      </w:r>
      <w:proofErr w:type="spellEnd"/>
      <w:r w:rsidRPr="002379B9">
        <w:rPr>
          <w:rFonts w:asciiTheme="minorHAnsi" w:hAnsiTheme="minorHAnsi" w:cs="System"/>
          <w:bCs/>
          <w:sz w:val="22"/>
          <w:szCs w:val="22"/>
        </w:rPr>
        <w:t>, die eine selbständige Tätigkeit aufnehmen. Sozialversicherungspflichtige Beschäftigungen werden nicht gefördert.</w:t>
      </w:r>
      <w:r w:rsidR="004D67DB">
        <w:rPr>
          <w:rFonts w:asciiTheme="minorHAnsi" w:hAnsiTheme="minorHAnsi" w:cs="System"/>
          <w:bCs/>
          <w:sz w:val="22"/>
          <w:szCs w:val="22"/>
        </w:rPr>
        <w:t xml:space="preserve"> </w:t>
      </w:r>
      <w:proofErr w:type="spellStart"/>
      <w:r w:rsidRPr="002379B9">
        <w:rPr>
          <w:rFonts w:asciiTheme="minorHAnsi" w:hAnsiTheme="minorHAnsi" w:cs="System"/>
          <w:bCs/>
          <w:sz w:val="22"/>
          <w:szCs w:val="22"/>
        </w:rPr>
        <w:t>Förderauschluss</w:t>
      </w:r>
      <w:proofErr w:type="spellEnd"/>
      <w:r w:rsidRPr="002379B9">
        <w:rPr>
          <w:rFonts w:asciiTheme="minorHAnsi" w:hAnsiTheme="minorHAnsi" w:cs="System"/>
          <w:bCs/>
          <w:sz w:val="22"/>
          <w:szCs w:val="22"/>
        </w:rPr>
        <w:t xml:space="preserve"> wenn,</w:t>
      </w:r>
    </w:p>
    <w:p w:rsidR="005908D7" w:rsidRPr="002379B9" w:rsidRDefault="005908D7" w:rsidP="005908D7">
      <w:pPr>
        <w:numPr>
          <w:ilvl w:val="0"/>
          <w:numId w:val="4"/>
        </w:numPr>
        <w:tabs>
          <w:tab w:val="clear" w:pos="1440"/>
          <w:tab w:val="num" w:pos="360"/>
        </w:tabs>
        <w:spacing w:line="360" w:lineRule="auto"/>
        <w:ind w:left="360"/>
        <w:jc w:val="both"/>
        <w:rPr>
          <w:rFonts w:asciiTheme="minorHAnsi" w:hAnsiTheme="minorHAnsi" w:cs="System"/>
          <w:bCs/>
          <w:sz w:val="22"/>
          <w:szCs w:val="22"/>
        </w:rPr>
      </w:pPr>
      <w:r w:rsidRPr="002379B9">
        <w:rPr>
          <w:rFonts w:asciiTheme="minorHAnsi" w:hAnsiTheme="minorHAnsi" w:cs="System"/>
          <w:bCs/>
          <w:sz w:val="22"/>
          <w:szCs w:val="22"/>
        </w:rPr>
        <w:lastRenderedPageBreak/>
        <w:t xml:space="preserve">ein Mitglied der Bedarfsgemeinschaft des Antragstellers innerhalb der letzten zwei Jahre vor Antragstellung bereits von einer AA, </w:t>
      </w:r>
      <w:proofErr w:type="spellStart"/>
      <w:r w:rsidRPr="002379B9">
        <w:rPr>
          <w:rFonts w:asciiTheme="minorHAnsi" w:hAnsiTheme="minorHAnsi" w:cs="System"/>
          <w:bCs/>
          <w:sz w:val="22"/>
          <w:szCs w:val="22"/>
        </w:rPr>
        <w:t>gT</w:t>
      </w:r>
      <w:proofErr w:type="spellEnd"/>
      <w:r w:rsidRPr="002379B9">
        <w:rPr>
          <w:rFonts w:asciiTheme="minorHAnsi" w:hAnsiTheme="minorHAnsi" w:cs="System"/>
          <w:bCs/>
          <w:sz w:val="22"/>
          <w:szCs w:val="22"/>
        </w:rPr>
        <w:t xml:space="preserve">, Optionskommune, ARGE </w:t>
      </w:r>
      <w:r w:rsidR="008653FF">
        <w:rPr>
          <w:rFonts w:asciiTheme="minorHAnsi" w:hAnsiTheme="minorHAnsi" w:cs="System"/>
          <w:bCs/>
          <w:sz w:val="22"/>
          <w:szCs w:val="22"/>
        </w:rPr>
        <w:t xml:space="preserve">oder </w:t>
      </w:r>
      <w:r w:rsidRPr="002379B9">
        <w:rPr>
          <w:rFonts w:asciiTheme="minorHAnsi" w:hAnsiTheme="minorHAnsi" w:cs="System"/>
          <w:bCs/>
          <w:sz w:val="22"/>
          <w:szCs w:val="22"/>
        </w:rPr>
        <w:t xml:space="preserve"> Jobcenter (bundesweit) gefördert wurde (GZ, ESG)</w:t>
      </w:r>
    </w:p>
    <w:p w:rsidR="005908D7" w:rsidRPr="002379B9" w:rsidRDefault="005908D7" w:rsidP="005908D7">
      <w:pPr>
        <w:numPr>
          <w:ilvl w:val="0"/>
          <w:numId w:val="4"/>
        </w:numPr>
        <w:tabs>
          <w:tab w:val="clear" w:pos="1440"/>
          <w:tab w:val="num" w:pos="360"/>
        </w:tabs>
        <w:spacing w:line="360" w:lineRule="auto"/>
        <w:ind w:left="360"/>
        <w:jc w:val="both"/>
        <w:rPr>
          <w:rFonts w:asciiTheme="minorHAnsi" w:hAnsiTheme="minorHAnsi" w:cs="System"/>
          <w:bCs/>
          <w:sz w:val="22"/>
          <w:szCs w:val="22"/>
        </w:rPr>
      </w:pPr>
      <w:r w:rsidRPr="002379B9">
        <w:rPr>
          <w:rFonts w:asciiTheme="minorHAnsi" w:hAnsiTheme="minorHAnsi" w:cs="System"/>
          <w:bCs/>
          <w:sz w:val="22"/>
          <w:szCs w:val="22"/>
        </w:rPr>
        <w:t>Antragsteller bereits im gleichen Bereich/Gewerbe innerhalb der letzten zehn Jahre vor Antragstellung selbständig war</w:t>
      </w:r>
    </w:p>
    <w:p w:rsidR="005908D7" w:rsidRPr="002379B9" w:rsidRDefault="005908D7" w:rsidP="005908D7">
      <w:pPr>
        <w:numPr>
          <w:ilvl w:val="0"/>
          <w:numId w:val="4"/>
        </w:numPr>
        <w:tabs>
          <w:tab w:val="clear" w:pos="1440"/>
          <w:tab w:val="num" w:pos="360"/>
        </w:tabs>
        <w:spacing w:line="360" w:lineRule="auto"/>
        <w:ind w:left="360"/>
        <w:jc w:val="both"/>
        <w:rPr>
          <w:rFonts w:asciiTheme="minorHAnsi" w:hAnsiTheme="minorHAnsi" w:cs="System"/>
          <w:bCs/>
          <w:sz w:val="22"/>
          <w:szCs w:val="22"/>
        </w:rPr>
      </w:pPr>
      <w:r w:rsidRPr="002379B9">
        <w:rPr>
          <w:rFonts w:asciiTheme="minorHAnsi" w:hAnsiTheme="minorHAnsi" w:cs="System"/>
          <w:bCs/>
          <w:sz w:val="22"/>
          <w:szCs w:val="22"/>
        </w:rPr>
        <w:t>Hilfebedürftigkeit während einer Selbständigkeit entstanden ist</w:t>
      </w:r>
    </w:p>
    <w:p w:rsidR="005908D7" w:rsidRDefault="005908D7" w:rsidP="005908D7">
      <w:pPr>
        <w:numPr>
          <w:ilvl w:val="0"/>
          <w:numId w:val="4"/>
        </w:numPr>
        <w:tabs>
          <w:tab w:val="clear" w:pos="1440"/>
          <w:tab w:val="num" w:pos="360"/>
        </w:tabs>
        <w:spacing w:line="360" w:lineRule="auto"/>
        <w:ind w:left="360"/>
        <w:jc w:val="both"/>
        <w:rPr>
          <w:rFonts w:asciiTheme="minorHAnsi" w:hAnsiTheme="minorHAnsi" w:cs="System"/>
          <w:bCs/>
          <w:sz w:val="22"/>
          <w:szCs w:val="22"/>
        </w:rPr>
      </w:pPr>
      <w:r w:rsidRPr="002379B9">
        <w:rPr>
          <w:rFonts w:asciiTheme="minorHAnsi" w:hAnsiTheme="minorHAnsi" w:cs="System"/>
          <w:bCs/>
          <w:sz w:val="22"/>
          <w:szCs w:val="22"/>
        </w:rPr>
        <w:t xml:space="preserve">Antragsteller sowohl </w:t>
      </w:r>
      <w:proofErr w:type="spellStart"/>
      <w:r w:rsidRPr="002379B9">
        <w:rPr>
          <w:rFonts w:asciiTheme="minorHAnsi" w:hAnsiTheme="minorHAnsi" w:cs="System"/>
          <w:bCs/>
          <w:sz w:val="22"/>
          <w:szCs w:val="22"/>
        </w:rPr>
        <w:t>AlgI</w:t>
      </w:r>
      <w:proofErr w:type="spellEnd"/>
      <w:r w:rsidRPr="002379B9">
        <w:rPr>
          <w:rFonts w:asciiTheme="minorHAnsi" w:hAnsiTheme="minorHAnsi" w:cs="System"/>
          <w:bCs/>
          <w:sz w:val="22"/>
          <w:szCs w:val="22"/>
        </w:rPr>
        <w:t xml:space="preserve"> als auch </w:t>
      </w:r>
      <w:proofErr w:type="spellStart"/>
      <w:r w:rsidRPr="002379B9">
        <w:rPr>
          <w:rFonts w:asciiTheme="minorHAnsi" w:hAnsiTheme="minorHAnsi" w:cs="System"/>
          <w:bCs/>
          <w:sz w:val="22"/>
          <w:szCs w:val="22"/>
        </w:rPr>
        <w:t>AlgII</w:t>
      </w:r>
      <w:proofErr w:type="spellEnd"/>
      <w:r w:rsidRPr="002379B9">
        <w:rPr>
          <w:rFonts w:asciiTheme="minorHAnsi" w:hAnsiTheme="minorHAnsi" w:cs="System"/>
          <w:bCs/>
          <w:sz w:val="22"/>
          <w:szCs w:val="22"/>
        </w:rPr>
        <w:t xml:space="preserve"> bezieht (</w:t>
      </w:r>
      <w:proofErr w:type="spellStart"/>
      <w:r w:rsidRPr="002379B9">
        <w:rPr>
          <w:rFonts w:asciiTheme="minorHAnsi" w:hAnsiTheme="minorHAnsi" w:cs="System"/>
          <w:bCs/>
          <w:sz w:val="22"/>
          <w:szCs w:val="22"/>
        </w:rPr>
        <w:t>Aufstocker</w:t>
      </w:r>
      <w:proofErr w:type="spellEnd"/>
      <w:r w:rsidRPr="002379B9">
        <w:rPr>
          <w:rFonts w:asciiTheme="minorHAnsi" w:hAnsiTheme="minorHAnsi" w:cs="System"/>
          <w:bCs/>
          <w:sz w:val="22"/>
          <w:szCs w:val="22"/>
        </w:rPr>
        <w:t>) -&gt; Verweis auf Gründungszuschuss der AA (sofern Anspruchsvoraussetzungen erfüllt sind; ansonsten ESG möglich)</w:t>
      </w:r>
    </w:p>
    <w:p w:rsidR="005908D7" w:rsidRPr="005908D7" w:rsidRDefault="005908D7" w:rsidP="005908D7">
      <w:pPr>
        <w:spacing w:line="360" w:lineRule="auto"/>
        <w:jc w:val="both"/>
        <w:rPr>
          <w:rFonts w:asciiTheme="minorHAnsi" w:hAnsiTheme="minorHAnsi" w:cs="System"/>
          <w:bCs/>
          <w:sz w:val="22"/>
          <w:szCs w:val="22"/>
        </w:rPr>
      </w:pPr>
    </w:p>
    <w:p w:rsidR="007446D7" w:rsidRPr="002379B9" w:rsidRDefault="007446D7" w:rsidP="00310B5B">
      <w:pPr>
        <w:spacing w:line="360" w:lineRule="auto"/>
        <w:jc w:val="both"/>
        <w:rPr>
          <w:rFonts w:asciiTheme="minorHAnsi" w:hAnsiTheme="minorHAnsi" w:cs="System"/>
          <w:bCs/>
          <w:sz w:val="22"/>
          <w:szCs w:val="22"/>
          <w:u w:val="single"/>
        </w:rPr>
      </w:pPr>
      <w:r w:rsidRPr="002379B9">
        <w:rPr>
          <w:rFonts w:asciiTheme="minorHAnsi" w:hAnsiTheme="minorHAnsi" w:cs="System"/>
          <w:bCs/>
          <w:sz w:val="22"/>
          <w:szCs w:val="22"/>
          <w:u w:val="single"/>
        </w:rPr>
        <w:t>Höhe:</w:t>
      </w:r>
    </w:p>
    <w:p w:rsidR="007446D7" w:rsidRPr="002379B9" w:rsidRDefault="007446D7"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t>50% der Regelleistung nach § 20 Abs. 2 SGB II (</w:t>
      </w:r>
      <w:r w:rsidR="00C71489" w:rsidRPr="002379B9">
        <w:rPr>
          <w:rFonts w:asciiTheme="minorHAnsi" w:hAnsiTheme="minorHAnsi" w:cs="System"/>
          <w:bCs/>
          <w:sz w:val="22"/>
          <w:szCs w:val="22"/>
        </w:rPr>
        <w:t>von der individuellen Regelleistung)</w:t>
      </w:r>
    </w:p>
    <w:p w:rsidR="00C71489" w:rsidRPr="002379B9" w:rsidRDefault="00C71489"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t>+ ggf. 20 % der vollen Regelleistung (siehe fachliche Hinweise 4.1.1 Absatz 3)</w:t>
      </w:r>
    </w:p>
    <w:p w:rsidR="007446D7" w:rsidRPr="002379B9" w:rsidRDefault="00C71489"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t>+ 10% der Regelleistung für jedes weitere Mitglied der Bedarfsgemeinschaft</w:t>
      </w:r>
    </w:p>
    <w:p w:rsidR="00C71489" w:rsidRPr="002379B9" w:rsidRDefault="00C71489" w:rsidP="00310B5B">
      <w:pPr>
        <w:spacing w:line="360" w:lineRule="auto"/>
        <w:jc w:val="both"/>
        <w:rPr>
          <w:rFonts w:asciiTheme="minorHAnsi" w:hAnsiTheme="minorHAnsi" w:cs="System"/>
          <w:bCs/>
          <w:color w:val="0000FF"/>
          <w:sz w:val="22"/>
          <w:szCs w:val="22"/>
        </w:rPr>
      </w:pPr>
    </w:p>
    <w:p w:rsidR="001031EF" w:rsidRPr="002379B9" w:rsidRDefault="002F6E12" w:rsidP="00310B5B">
      <w:pPr>
        <w:spacing w:line="360" w:lineRule="auto"/>
        <w:jc w:val="both"/>
        <w:rPr>
          <w:rFonts w:asciiTheme="minorHAnsi" w:hAnsiTheme="minorHAnsi" w:cs="System"/>
          <w:bCs/>
          <w:sz w:val="22"/>
          <w:szCs w:val="22"/>
          <w:u w:val="single"/>
        </w:rPr>
      </w:pPr>
      <w:r w:rsidRPr="002379B9">
        <w:rPr>
          <w:rFonts w:asciiTheme="minorHAnsi" w:hAnsiTheme="minorHAnsi" w:cs="System"/>
          <w:bCs/>
          <w:sz w:val="22"/>
          <w:szCs w:val="22"/>
          <w:u w:val="single"/>
        </w:rPr>
        <w:t>Dauer:</w:t>
      </w:r>
    </w:p>
    <w:p w:rsidR="00094384" w:rsidRPr="002379B9" w:rsidRDefault="00094384" w:rsidP="00310B5B">
      <w:pPr>
        <w:pStyle w:val="Default"/>
        <w:spacing w:line="360" w:lineRule="auto"/>
        <w:jc w:val="both"/>
        <w:rPr>
          <w:rFonts w:asciiTheme="minorHAnsi" w:hAnsiTheme="minorHAnsi"/>
        </w:rPr>
      </w:pPr>
      <w:r w:rsidRPr="002379B9">
        <w:rPr>
          <w:rFonts w:asciiTheme="minorHAnsi" w:hAnsiTheme="minorHAnsi" w:cs="System"/>
          <w:bCs/>
          <w:sz w:val="22"/>
          <w:szCs w:val="22"/>
        </w:rPr>
        <w:t>Es gelten die gesetzlichen Regelungen hinsichtlich der Dauer. Orientierung geben soll hinsichtlich der Förderdauer die Gewinn-/Verlustprognose. Ist dort dargestellt, dass die Überwindung der Hilfebedürftigkeit in beispielsweise 7 Monaten erwartet wird, so soll die Förderdauer bis zu eben diesem Zeitpunkt ausgelegt werden.</w:t>
      </w:r>
    </w:p>
    <w:p w:rsidR="00094384" w:rsidRPr="002379B9" w:rsidRDefault="00094384" w:rsidP="00310B5B">
      <w:pPr>
        <w:pStyle w:val="Default"/>
        <w:spacing w:line="360" w:lineRule="auto"/>
        <w:jc w:val="both"/>
        <w:rPr>
          <w:rFonts w:asciiTheme="minorHAnsi" w:hAnsiTheme="minorHAnsi"/>
          <w:sz w:val="22"/>
          <w:szCs w:val="22"/>
        </w:rPr>
      </w:pPr>
      <w:r w:rsidRPr="002379B9">
        <w:rPr>
          <w:rFonts w:asciiTheme="minorHAnsi" w:hAnsiTheme="minorHAnsi"/>
          <w:sz w:val="22"/>
          <w:szCs w:val="22"/>
        </w:rPr>
        <w:t>Die Förderentscheidung einschließlich der Dauer wird nur einmalig fü</w:t>
      </w:r>
      <w:r w:rsidR="00310B5B" w:rsidRPr="002379B9">
        <w:rPr>
          <w:rFonts w:asciiTheme="minorHAnsi" w:hAnsiTheme="minorHAnsi"/>
          <w:sz w:val="22"/>
          <w:szCs w:val="22"/>
        </w:rPr>
        <w:t>r den gesamten Bewilligungszeitr</w:t>
      </w:r>
      <w:r w:rsidRPr="002379B9">
        <w:rPr>
          <w:rFonts w:asciiTheme="minorHAnsi" w:hAnsiTheme="minorHAnsi"/>
          <w:sz w:val="22"/>
          <w:szCs w:val="22"/>
        </w:rPr>
        <w:t xml:space="preserve">aum getroffen. Die Entscheidung trifft der </w:t>
      </w:r>
      <w:proofErr w:type="spellStart"/>
      <w:r w:rsidRPr="002379B9">
        <w:rPr>
          <w:rFonts w:asciiTheme="minorHAnsi" w:hAnsiTheme="minorHAnsi"/>
          <w:sz w:val="22"/>
          <w:szCs w:val="22"/>
        </w:rPr>
        <w:t>pAp</w:t>
      </w:r>
      <w:proofErr w:type="spellEnd"/>
      <w:r w:rsidRPr="002379B9">
        <w:rPr>
          <w:rFonts w:asciiTheme="minorHAnsi" w:hAnsiTheme="minorHAnsi"/>
          <w:sz w:val="22"/>
          <w:szCs w:val="22"/>
        </w:rPr>
        <w:t>.</w:t>
      </w:r>
    </w:p>
    <w:p w:rsidR="00293227" w:rsidRPr="002379B9" w:rsidRDefault="00293227" w:rsidP="00310B5B">
      <w:pPr>
        <w:spacing w:line="360" w:lineRule="auto"/>
        <w:jc w:val="both"/>
        <w:rPr>
          <w:rFonts w:asciiTheme="minorHAnsi" w:hAnsiTheme="minorHAnsi" w:cs="System"/>
          <w:bCs/>
          <w:sz w:val="22"/>
          <w:szCs w:val="22"/>
        </w:rPr>
      </w:pPr>
    </w:p>
    <w:p w:rsidR="002F6E12" w:rsidRPr="002379B9" w:rsidRDefault="002F6E12" w:rsidP="00310B5B">
      <w:pPr>
        <w:spacing w:line="360" w:lineRule="auto"/>
        <w:jc w:val="both"/>
        <w:rPr>
          <w:rFonts w:asciiTheme="minorHAnsi" w:hAnsiTheme="minorHAnsi" w:cs="System"/>
          <w:bCs/>
          <w:color w:val="333333"/>
          <w:sz w:val="22"/>
          <w:szCs w:val="22"/>
          <w:u w:val="single"/>
        </w:rPr>
      </w:pPr>
      <w:r w:rsidRPr="002379B9">
        <w:rPr>
          <w:rFonts w:asciiTheme="minorHAnsi" w:hAnsiTheme="minorHAnsi" w:cs="System"/>
          <w:bCs/>
          <w:color w:val="333333"/>
          <w:sz w:val="22"/>
          <w:szCs w:val="22"/>
          <w:u w:val="single"/>
        </w:rPr>
        <w:t>Verfahren/benötigte Unterlagen:</w:t>
      </w:r>
    </w:p>
    <w:p w:rsidR="007976BE" w:rsidRPr="002379B9" w:rsidRDefault="007976BE" w:rsidP="00310B5B">
      <w:pPr>
        <w:numPr>
          <w:ilvl w:val="0"/>
          <w:numId w:val="5"/>
        </w:numPr>
        <w:tabs>
          <w:tab w:val="clear" w:pos="720"/>
          <w:tab w:val="num" w:pos="360"/>
        </w:tabs>
        <w:spacing w:line="360" w:lineRule="auto"/>
        <w:ind w:left="360"/>
        <w:jc w:val="both"/>
        <w:rPr>
          <w:rFonts w:asciiTheme="minorHAnsi" w:hAnsiTheme="minorHAnsi" w:cs="System"/>
          <w:bCs/>
          <w:color w:val="333333"/>
          <w:sz w:val="22"/>
          <w:szCs w:val="22"/>
        </w:rPr>
      </w:pPr>
      <w:r w:rsidRPr="002379B9">
        <w:rPr>
          <w:rFonts w:asciiTheme="minorHAnsi" w:hAnsiTheme="minorHAnsi" w:cs="System"/>
          <w:bCs/>
          <w:color w:val="333333"/>
          <w:sz w:val="22"/>
          <w:szCs w:val="22"/>
        </w:rPr>
        <w:t>Antrag</w:t>
      </w:r>
    </w:p>
    <w:p w:rsidR="002F6E12" w:rsidRPr="002379B9" w:rsidRDefault="002F6E12" w:rsidP="00310B5B">
      <w:pPr>
        <w:numPr>
          <w:ilvl w:val="0"/>
          <w:numId w:val="5"/>
        </w:numPr>
        <w:tabs>
          <w:tab w:val="clear" w:pos="720"/>
          <w:tab w:val="num" w:pos="360"/>
        </w:tabs>
        <w:spacing w:line="360" w:lineRule="auto"/>
        <w:ind w:left="360"/>
        <w:jc w:val="both"/>
        <w:rPr>
          <w:rFonts w:asciiTheme="minorHAnsi" w:hAnsiTheme="minorHAnsi" w:cs="System"/>
          <w:bCs/>
          <w:color w:val="333333"/>
          <w:sz w:val="22"/>
          <w:szCs w:val="22"/>
        </w:rPr>
      </w:pPr>
      <w:r w:rsidRPr="002379B9">
        <w:rPr>
          <w:rFonts w:asciiTheme="minorHAnsi" w:hAnsiTheme="minorHAnsi" w:cs="System"/>
          <w:bCs/>
          <w:color w:val="333333"/>
          <w:sz w:val="22"/>
          <w:szCs w:val="22"/>
        </w:rPr>
        <w:t>Gewerbeanmeldung bzw. Zulassung (z.B. IHK)</w:t>
      </w:r>
    </w:p>
    <w:p w:rsidR="002F6E12" w:rsidRPr="002379B9" w:rsidRDefault="002F6E12" w:rsidP="00310B5B">
      <w:pPr>
        <w:numPr>
          <w:ilvl w:val="0"/>
          <w:numId w:val="5"/>
        </w:numPr>
        <w:tabs>
          <w:tab w:val="clear" w:pos="720"/>
          <w:tab w:val="num" w:pos="360"/>
        </w:tabs>
        <w:spacing w:line="360" w:lineRule="auto"/>
        <w:ind w:left="360"/>
        <w:jc w:val="both"/>
        <w:rPr>
          <w:rFonts w:asciiTheme="minorHAnsi" w:hAnsiTheme="minorHAnsi" w:cs="System"/>
          <w:bCs/>
          <w:color w:val="333333"/>
          <w:sz w:val="22"/>
          <w:szCs w:val="22"/>
        </w:rPr>
      </w:pPr>
      <w:r w:rsidRPr="002379B9">
        <w:rPr>
          <w:rFonts w:asciiTheme="minorHAnsi" w:hAnsiTheme="minorHAnsi" w:cs="System"/>
          <w:bCs/>
          <w:color w:val="333333"/>
          <w:sz w:val="22"/>
          <w:szCs w:val="22"/>
        </w:rPr>
        <w:t>Gewinn-/Verlustprognose</w:t>
      </w:r>
    </w:p>
    <w:p w:rsidR="002F6E12" w:rsidRPr="002379B9" w:rsidRDefault="002F6E12" w:rsidP="00310B5B">
      <w:pPr>
        <w:numPr>
          <w:ilvl w:val="0"/>
          <w:numId w:val="5"/>
        </w:numPr>
        <w:tabs>
          <w:tab w:val="clear" w:pos="720"/>
          <w:tab w:val="num" w:pos="360"/>
        </w:tabs>
        <w:spacing w:line="360" w:lineRule="auto"/>
        <w:ind w:left="360"/>
        <w:jc w:val="both"/>
        <w:rPr>
          <w:rFonts w:asciiTheme="minorHAnsi" w:hAnsiTheme="minorHAnsi" w:cs="System"/>
          <w:bCs/>
          <w:color w:val="333333"/>
          <w:sz w:val="22"/>
          <w:szCs w:val="22"/>
        </w:rPr>
      </w:pPr>
      <w:r w:rsidRPr="002379B9">
        <w:rPr>
          <w:rFonts w:asciiTheme="minorHAnsi" w:hAnsiTheme="minorHAnsi" w:cs="System"/>
          <w:bCs/>
          <w:color w:val="333333"/>
          <w:sz w:val="22"/>
          <w:szCs w:val="22"/>
        </w:rPr>
        <w:t>Tragfähigkeitsbescheinigung von fachkundiger Stelle (</w:t>
      </w:r>
      <w:r w:rsidR="00BD6440" w:rsidRPr="002379B9">
        <w:rPr>
          <w:rFonts w:asciiTheme="minorHAnsi" w:hAnsiTheme="minorHAnsi" w:cs="System"/>
          <w:bCs/>
          <w:color w:val="333333"/>
          <w:sz w:val="22"/>
          <w:szCs w:val="22"/>
          <w:u w:val="single"/>
        </w:rPr>
        <w:t>nur</w:t>
      </w:r>
      <w:r w:rsidRPr="002379B9">
        <w:rPr>
          <w:rFonts w:asciiTheme="minorHAnsi" w:hAnsiTheme="minorHAnsi" w:cs="System"/>
          <w:bCs/>
          <w:color w:val="333333"/>
          <w:sz w:val="22"/>
          <w:szCs w:val="22"/>
        </w:rPr>
        <w:t xml:space="preserve"> Aktivsenioren)</w:t>
      </w:r>
    </w:p>
    <w:p w:rsidR="002F6E12" w:rsidRPr="002379B9" w:rsidRDefault="002F6E12" w:rsidP="00310B5B">
      <w:pPr>
        <w:numPr>
          <w:ilvl w:val="0"/>
          <w:numId w:val="5"/>
        </w:numPr>
        <w:tabs>
          <w:tab w:val="clear" w:pos="720"/>
          <w:tab w:val="num" w:pos="360"/>
        </w:tabs>
        <w:spacing w:line="360" w:lineRule="auto"/>
        <w:ind w:left="360"/>
        <w:jc w:val="both"/>
        <w:rPr>
          <w:rFonts w:asciiTheme="minorHAnsi" w:hAnsiTheme="minorHAnsi" w:cs="System"/>
          <w:bCs/>
          <w:color w:val="333333"/>
          <w:sz w:val="22"/>
          <w:szCs w:val="22"/>
        </w:rPr>
      </w:pPr>
      <w:r w:rsidRPr="002379B9">
        <w:rPr>
          <w:rFonts w:asciiTheme="minorHAnsi" w:hAnsiTheme="minorHAnsi" w:cs="System"/>
          <w:bCs/>
          <w:color w:val="333333"/>
          <w:sz w:val="22"/>
          <w:szCs w:val="22"/>
        </w:rPr>
        <w:t>Konzept (ausführlich, jedoch in angemessenem Umfang)</w:t>
      </w:r>
    </w:p>
    <w:p w:rsidR="002F6E12" w:rsidRPr="002379B9" w:rsidRDefault="002F6E12" w:rsidP="00310B5B">
      <w:pPr>
        <w:spacing w:line="360" w:lineRule="auto"/>
        <w:jc w:val="both"/>
        <w:rPr>
          <w:rFonts w:asciiTheme="minorHAnsi" w:hAnsiTheme="minorHAnsi" w:cs="System"/>
          <w:bCs/>
          <w:color w:val="333333"/>
          <w:sz w:val="22"/>
          <w:szCs w:val="22"/>
        </w:rPr>
      </w:pPr>
    </w:p>
    <w:p w:rsidR="002F6E12" w:rsidRPr="002379B9" w:rsidRDefault="002F6E12" w:rsidP="00310B5B">
      <w:pPr>
        <w:spacing w:line="360" w:lineRule="auto"/>
        <w:jc w:val="both"/>
        <w:rPr>
          <w:rFonts w:asciiTheme="minorHAnsi" w:hAnsiTheme="minorHAnsi" w:cs="System"/>
          <w:bCs/>
          <w:color w:val="333333"/>
          <w:sz w:val="22"/>
          <w:szCs w:val="22"/>
        </w:rPr>
      </w:pPr>
      <w:r w:rsidRPr="002379B9">
        <w:rPr>
          <w:rFonts w:asciiTheme="minorHAnsi" w:hAnsiTheme="minorHAnsi" w:cs="System"/>
          <w:bCs/>
          <w:color w:val="333333"/>
          <w:sz w:val="22"/>
          <w:szCs w:val="22"/>
        </w:rPr>
        <w:t xml:space="preserve">Diese Unterlagen dienen </w:t>
      </w:r>
      <w:r w:rsidR="00460C7E" w:rsidRPr="002379B9">
        <w:rPr>
          <w:rFonts w:asciiTheme="minorHAnsi" w:hAnsiTheme="minorHAnsi" w:cs="System"/>
          <w:bCs/>
          <w:color w:val="333333"/>
          <w:sz w:val="22"/>
          <w:szCs w:val="22"/>
        </w:rPr>
        <w:t>dem Jobcenter</w:t>
      </w:r>
      <w:r w:rsidRPr="002379B9">
        <w:rPr>
          <w:rFonts w:asciiTheme="minorHAnsi" w:hAnsiTheme="minorHAnsi" w:cs="System"/>
          <w:bCs/>
          <w:color w:val="333333"/>
          <w:sz w:val="22"/>
          <w:szCs w:val="22"/>
        </w:rPr>
        <w:t xml:space="preserve"> grundsätzlich als Entscheidungshilfen. Ihre </w:t>
      </w:r>
      <w:r w:rsidR="007976BE" w:rsidRPr="002379B9">
        <w:rPr>
          <w:rFonts w:asciiTheme="minorHAnsi" w:hAnsiTheme="minorHAnsi" w:cs="System"/>
          <w:bCs/>
          <w:color w:val="333333"/>
          <w:sz w:val="22"/>
          <w:szCs w:val="22"/>
        </w:rPr>
        <w:t xml:space="preserve">bloße Vorlage alleine begründet noch keinen Anspruch auf ESG. Es sollte vielmehr auch die persönliche/menschliche Eignung des Kunden bzgl. der geplanten Selbständigkeit </w:t>
      </w:r>
      <w:r w:rsidR="00901B3C" w:rsidRPr="002379B9">
        <w:rPr>
          <w:rFonts w:asciiTheme="minorHAnsi" w:hAnsiTheme="minorHAnsi" w:cs="System"/>
          <w:bCs/>
          <w:color w:val="333333"/>
          <w:sz w:val="22"/>
          <w:szCs w:val="22"/>
        </w:rPr>
        <w:t>eingehend</w:t>
      </w:r>
      <w:r w:rsidR="007976BE" w:rsidRPr="002379B9">
        <w:rPr>
          <w:rFonts w:asciiTheme="minorHAnsi" w:hAnsiTheme="minorHAnsi" w:cs="System"/>
          <w:bCs/>
          <w:color w:val="333333"/>
          <w:sz w:val="22"/>
          <w:szCs w:val="22"/>
        </w:rPr>
        <w:t xml:space="preserve"> geprüft werden.</w:t>
      </w:r>
    </w:p>
    <w:p w:rsidR="004D67DB" w:rsidRPr="002379B9" w:rsidRDefault="004D67DB" w:rsidP="00310B5B">
      <w:pPr>
        <w:spacing w:line="360" w:lineRule="auto"/>
        <w:jc w:val="both"/>
        <w:rPr>
          <w:rFonts w:asciiTheme="minorHAnsi" w:hAnsiTheme="minorHAnsi" w:cs="System"/>
          <w:bCs/>
          <w:color w:val="333333"/>
          <w:sz w:val="22"/>
          <w:szCs w:val="22"/>
        </w:rPr>
      </w:pPr>
    </w:p>
    <w:p w:rsidR="00293227" w:rsidRPr="002379B9" w:rsidRDefault="00293227" w:rsidP="00310B5B">
      <w:pPr>
        <w:spacing w:line="360" w:lineRule="auto"/>
        <w:jc w:val="both"/>
        <w:rPr>
          <w:rFonts w:asciiTheme="minorHAnsi" w:hAnsiTheme="minorHAnsi" w:cs="System"/>
          <w:b/>
          <w:bCs/>
          <w:sz w:val="32"/>
          <w:szCs w:val="32"/>
          <w:u w:val="single"/>
        </w:rPr>
      </w:pPr>
      <w:r w:rsidRPr="002379B9">
        <w:rPr>
          <w:rFonts w:asciiTheme="minorHAnsi" w:hAnsiTheme="minorHAnsi" w:cs="System"/>
          <w:b/>
          <w:bCs/>
          <w:sz w:val="32"/>
          <w:szCs w:val="32"/>
          <w:u w:val="single"/>
        </w:rPr>
        <w:t>Leistungen zur Eingliederung von Selbständigen:</w:t>
      </w:r>
    </w:p>
    <w:p w:rsidR="00293227" w:rsidRPr="002379B9" w:rsidRDefault="00293227" w:rsidP="00310B5B">
      <w:pPr>
        <w:spacing w:line="360" w:lineRule="auto"/>
        <w:jc w:val="both"/>
        <w:rPr>
          <w:rFonts w:asciiTheme="minorHAnsi" w:hAnsiTheme="minorHAnsi" w:cs="System"/>
          <w:bCs/>
          <w:sz w:val="22"/>
          <w:szCs w:val="22"/>
          <w:u w:val="single"/>
        </w:rPr>
      </w:pPr>
    </w:p>
    <w:p w:rsidR="00293227" w:rsidRPr="002379B9" w:rsidRDefault="00293227"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u w:val="single"/>
        </w:rPr>
        <w:t>Rechtsgrundlage:</w:t>
      </w:r>
      <w:r w:rsidRPr="002379B9">
        <w:rPr>
          <w:rFonts w:asciiTheme="minorHAnsi" w:hAnsiTheme="minorHAnsi" w:cs="System"/>
          <w:bCs/>
          <w:sz w:val="22"/>
          <w:szCs w:val="22"/>
        </w:rPr>
        <w:t xml:space="preserve"> § 16 c SGB II</w:t>
      </w:r>
    </w:p>
    <w:p w:rsidR="000C438C" w:rsidRPr="002379B9" w:rsidRDefault="000C438C" w:rsidP="00310B5B">
      <w:pPr>
        <w:spacing w:line="360" w:lineRule="auto"/>
        <w:jc w:val="both"/>
        <w:rPr>
          <w:rFonts w:asciiTheme="minorHAnsi" w:hAnsiTheme="minorHAnsi" w:cs="System"/>
          <w:bCs/>
          <w:sz w:val="22"/>
          <w:szCs w:val="22"/>
        </w:rPr>
      </w:pPr>
    </w:p>
    <w:p w:rsidR="00293227" w:rsidRPr="002379B9" w:rsidRDefault="00293227"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lastRenderedPageBreak/>
        <w:t>Die Regelungen richten sich strikt nach der Geschäftsanweisung. Jede Entscheidung zu § 16 c SGB II muss im Vier-Augen-Prinzip mit 32 getroffen werden.</w:t>
      </w:r>
    </w:p>
    <w:p w:rsidR="00BD6440" w:rsidRPr="002379B9" w:rsidRDefault="00BD6440" w:rsidP="00310B5B">
      <w:pPr>
        <w:spacing w:line="360" w:lineRule="auto"/>
        <w:jc w:val="both"/>
        <w:rPr>
          <w:rFonts w:asciiTheme="minorHAnsi" w:hAnsiTheme="minorHAnsi" w:cs="System"/>
          <w:bCs/>
          <w:sz w:val="22"/>
          <w:szCs w:val="22"/>
        </w:rPr>
      </w:pPr>
    </w:p>
    <w:p w:rsidR="009408F4" w:rsidRPr="002379B9" w:rsidRDefault="009408F4" w:rsidP="00310B5B">
      <w:pPr>
        <w:spacing w:line="360" w:lineRule="auto"/>
        <w:jc w:val="both"/>
        <w:rPr>
          <w:rFonts w:asciiTheme="minorHAnsi" w:hAnsiTheme="minorHAnsi" w:cs="System"/>
          <w:bCs/>
          <w:sz w:val="22"/>
          <w:szCs w:val="22"/>
        </w:rPr>
      </w:pPr>
    </w:p>
    <w:p w:rsidR="00770B92" w:rsidRPr="002379B9" w:rsidRDefault="00770B92" w:rsidP="00310B5B">
      <w:pPr>
        <w:spacing w:line="360" w:lineRule="auto"/>
        <w:jc w:val="both"/>
        <w:rPr>
          <w:rFonts w:asciiTheme="minorHAnsi" w:hAnsiTheme="minorHAnsi" w:cs="System"/>
          <w:b/>
          <w:bCs/>
          <w:sz w:val="32"/>
          <w:szCs w:val="32"/>
          <w:u w:val="single"/>
        </w:rPr>
      </w:pPr>
      <w:r w:rsidRPr="002379B9">
        <w:rPr>
          <w:rFonts w:asciiTheme="minorHAnsi" w:hAnsiTheme="minorHAnsi" w:cs="System"/>
          <w:b/>
          <w:bCs/>
          <w:sz w:val="32"/>
          <w:szCs w:val="32"/>
          <w:u w:val="single"/>
        </w:rPr>
        <w:t>Arbeitsgelegenheiten (AGH):</w:t>
      </w:r>
    </w:p>
    <w:p w:rsidR="00770B92" w:rsidRPr="002379B9" w:rsidRDefault="00770B92" w:rsidP="00310B5B">
      <w:pPr>
        <w:spacing w:line="360" w:lineRule="auto"/>
        <w:jc w:val="both"/>
        <w:rPr>
          <w:rFonts w:asciiTheme="minorHAnsi" w:hAnsiTheme="minorHAnsi" w:cs="System"/>
          <w:bCs/>
          <w:sz w:val="22"/>
          <w:szCs w:val="22"/>
        </w:rPr>
      </w:pPr>
    </w:p>
    <w:p w:rsidR="00770B92" w:rsidRPr="002379B9" w:rsidRDefault="00770B92"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u w:val="single"/>
        </w:rPr>
        <w:t>Rechtsgrundlage:</w:t>
      </w:r>
      <w:r w:rsidRPr="002379B9">
        <w:rPr>
          <w:rFonts w:asciiTheme="minorHAnsi" w:hAnsiTheme="minorHAnsi" w:cs="System"/>
          <w:bCs/>
          <w:sz w:val="22"/>
          <w:szCs w:val="22"/>
        </w:rPr>
        <w:t xml:space="preserve"> § 16</w:t>
      </w:r>
      <w:r w:rsidR="00293227" w:rsidRPr="002379B9">
        <w:rPr>
          <w:rFonts w:asciiTheme="minorHAnsi" w:hAnsiTheme="minorHAnsi" w:cs="System"/>
          <w:bCs/>
          <w:sz w:val="22"/>
          <w:szCs w:val="22"/>
        </w:rPr>
        <w:t xml:space="preserve"> d</w:t>
      </w:r>
      <w:r w:rsidR="00E6700D" w:rsidRPr="002379B9">
        <w:rPr>
          <w:rFonts w:asciiTheme="minorHAnsi" w:hAnsiTheme="minorHAnsi" w:cs="System"/>
          <w:bCs/>
          <w:sz w:val="22"/>
          <w:szCs w:val="22"/>
        </w:rPr>
        <w:t xml:space="preserve"> SGB II</w:t>
      </w:r>
    </w:p>
    <w:p w:rsidR="00E6700D" w:rsidRPr="002379B9" w:rsidRDefault="00E6700D" w:rsidP="00310B5B">
      <w:pPr>
        <w:spacing w:line="360" w:lineRule="auto"/>
        <w:jc w:val="both"/>
        <w:rPr>
          <w:rFonts w:asciiTheme="minorHAnsi" w:hAnsiTheme="minorHAnsi" w:cs="System"/>
          <w:bCs/>
          <w:sz w:val="22"/>
          <w:szCs w:val="22"/>
        </w:rPr>
      </w:pPr>
    </w:p>
    <w:p w:rsidR="00E6700D" w:rsidRPr="002379B9" w:rsidRDefault="00E6700D" w:rsidP="00310B5B">
      <w:pPr>
        <w:spacing w:line="360" w:lineRule="auto"/>
        <w:jc w:val="both"/>
        <w:rPr>
          <w:rFonts w:asciiTheme="minorHAnsi" w:hAnsiTheme="minorHAnsi" w:cs="System"/>
          <w:bCs/>
          <w:sz w:val="22"/>
          <w:szCs w:val="22"/>
          <w:u w:val="single"/>
        </w:rPr>
      </w:pPr>
      <w:r w:rsidRPr="002379B9">
        <w:rPr>
          <w:rFonts w:asciiTheme="minorHAnsi" w:hAnsiTheme="minorHAnsi" w:cs="System"/>
          <w:bCs/>
          <w:sz w:val="22"/>
          <w:szCs w:val="22"/>
          <w:u w:val="single"/>
        </w:rPr>
        <w:t>Zuweisung:</w:t>
      </w:r>
    </w:p>
    <w:p w:rsidR="00E6700D" w:rsidRPr="002379B9" w:rsidRDefault="00107C9F" w:rsidP="00310B5B">
      <w:pPr>
        <w:numPr>
          <w:ilvl w:val="0"/>
          <w:numId w:val="2"/>
        </w:numPr>
        <w:tabs>
          <w:tab w:val="num" w:pos="360"/>
        </w:tabs>
        <w:spacing w:line="360" w:lineRule="auto"/>
        <w:ind w:left="360"/>
        <w:jc w:val="both"/>
        <w:rPr>
          <w:rFonts w:asciiTheme="minorHAnsi" w:hAnsiTheme="minorHAnsi" w:cs="System"/>
          <w:bCs/>
          <w:sz w:val="22"/>
          <w:szCs w:val="22"/>
        </w:rPr>
      </w:pPr>
      <w:r w:rsidRPr="002379B9">
        <w:rPr>
          <w:rFonts w:asciiTheme="minorHAnsi" w:hAnsiTheme="minorHAnsi" w:cs="System"/>
          <w:bCs/>
          <w:sz w:val="22"/>
          <w:szCs w:val="22"/>
        </w:rPr>
        <w:t xml:space="preserve">Alle Kunden werden grundsätzlich für vorerst 6 Monate zu einer AGH zugewiesen. Am Ende dieses Sechsmonatsabschnittes muss nach Rücksprache zwischen Vermittlungsfachkraft und AGH – Träger entschieden werden, ob eine Verlängerung der individuellen Teilnahmedauer des Kunden 6 Monate zur Problemaufarbeitung erforderlich ist. Diese Entscheidung ist nachvollziehbar in Verbis zu dokumentieren. Bei jedem Kunden ist </w:t>
      </w:r>
      <w:r w:rsidR="00BD6440" w:rsidRPr="002379B9">
        <w:rPr>
          <w:rFonts w:asciiTheme="minorHAnsi" w:hAnsiTheme="minorHAnsi" w:cs="System"/>
          <w:bCs/>
          <w:sz w:val="22"/>
          <w:szCs w:val="22"/>
        </w:rPr>
        <w:t xml:space="preserve">grundsätzlich </w:t>
      </w:r>
      <w:r w:rsidRPr="002379B9">
        <w:rPr>
          <w:rFonts w:asciiTheme="minorHAnsi" w:hAnsiTheme="minorHAnsi" w:cs="System"/>
          <w:bCs/>
          <w:sz w:val="22"/>
          <w:szCs w:val="22"/>
        </w:rPr>
        <w:t xml:space="preserve">nur eine Verlängerung möglich. Damit ist eine maximale Teilnahmedauer (in Abhängigkeit vom Bewilligungszeitraum der Maßnahme) von 12 Monaten möglich. Eine längere Teilnahmedauer wird aus Gewöhnungsgründen (Kunden arrangieren ihr Leben mit AGH und verlieren das Ziel der Arbeitsaufnahme auf dem 1. Arbeitsmarkt aus den Augen) </w:t>
      </w:r>
      <w:r w:rsidR="00BD6440" w:rsidRPr="002379B9">
        <w:rPr>
          <w:rFonts w:asciiTheme="minorHAnsi" w:hAnsiTheme="minorHAnsi" w:cs="System"/>
          <w:bCs/>
          <w:sz w:val="22"/>
          <w:szCs w:val="22"/>
        </w:rPr>
        <w:t xml:space="preserve">grundsätzlich </w:t>
      </w:r>
      <w:r w:rsidRPr="002379B9">
        <w:rPr>
          <w:rFonts w:asciiTheme="minorHAnsi" w:hAnsiTheme="minorHAnsi" w:cs="System"/>
          <w:bCs/>
          <w:sz w:val="22"/>
          <w:szCs w:val="22"/>
        </w:rPr>
        <w:t>abgelehnt.</w:t>
      </w:r>
    </w:p>
    <w:p w:rsidR="00E6700D" w:rsidRPr="002379B9" w:rsidRDefault="00AA60E2" w:rsidP="00310B5B">
      <w:pPr>
        <w:numPr>
          <w:ilvl w:val="0"/>
          <w:numId w:val="2"/>
        </w:numPr>
        <w:tabs>
          <w:tab w:val="num" w:pos="360"/>
        </w:tabs>
        <w:spacing w:line="360" w:lineRule="auto"/>
        <w:ind w:left="360"/>
        <w:jc w:val="both"/>
        <w:rPr>
          <w:rFonts w:asciiTheme="minorHAnsi" w:hAnsiTheme="minorHAnsi" w:cs="System"/>
          <w:bCs/>
          <w:sz w:val="22"/>
          <w:szCs w:val="22"/>
        </w:rPr>
      </w:pPr>
      <w:r>
        <w:rPr>
          <w:rFonts w:asciiTheme="minorHAnsi" w:hAnsiTheme="minorHAnsi" w:cs="System"/>
          <w:bCs/>
          <w:sz w:val="22"/>
          <w:szCs w:val="22"/>
        </w:rPr>
        <w:t>Für eine erneute Zuweisung gelten die rechtlichen Fristen gem. § 16 d SGB II.</w:t>
      </w:r>
    </w:p>
    <w:p w:rsidR="000D41FA" w:rsidRPr="004D2F8F" w:rsidRDefault="00B6723B" w:rsidP="00310B5B">
      <w:pPr>
        <w:numPr>
          <w:ilvl w:val="0"/>
          <w:numId w:val="2"/>
        </w:numPr>
        <w:tabs>
          <w:tab w:val="num" w:pos="360"/>
        </w:tabs>
        <w:spacing w:line="360" w:lineRule="auto"/>
        <w:ind w:left="360"/>
        <w:jc w:val="both"/>
        <w:rPr>
          <w:rFonts w:asciiTheme="minorHAnsi" w:hAnsiTheme="minorHAnsi" w:cstheme="minorHAnsi"/>
          <w:bCs/>
          <w:sz w:val="22"/>
          <w:szCs w:val="22"/>
        </w:rPr>
      </w:pPr>
      <w:r w:rsidRPr="002379B9">
        <w:rPr>
          <w:rFonts w:asciiTheme="minorHAnsi" w:hAnsiTheme="minorHAnsi" w:cs="System"/>
          <w:bCs/>
          <w:sz w:val="22"/>
          <w:szCs w:val="22"/>
        </w:rPr>
        <w:t xml:space="preserve">Kunden, die den §428 SGB III in Anspruch genommen haben, werden nicht in AGH oder vergleichbare </w:t>
      </w:r>
      <w:r w:rsidRPr="004D2F8F">
        <w:rPr>
          <w:rFonts w:asciiTheme="minorHAnsi" w:hAnsiTheme="minorHAnsi" w:cstheme="minorHAnsi"/>
          <w:bCs/>
          <w:sz w:val="22"/>
          <w:szCs w:val="22"/>
        </w:rPr>
        <w:t>Maßnahmen zugewiesen</w:t>
      </w:r>
    </w:p>
    <w:p w:rsidR="00364A02" w:rsidRDefault="00364A02" w:rsidP="00310B5B">
      <w:pPr>
        <w:numPr>
          <w:ilvl w:val="0"/>
          <w:numId w:val="2"/>
        </w:numPr>
        <w:tabs>
          <w:tab w:val="num" w:pos="360"/>
        </w:tabs>
        <w:spacing w:line="360" w:lineRule="auto"/>
        <w:ind w:left="360"/>
        <w:jc w:val="both"/>
        <w:rPr>
          <w:rFonts w:asciiTheme="minorHAnsi" w:hAnsiTheme="minorHAnsi" w:cstheme="minorHAnsi"/>
          <w:bCs/>
          <w:sz w:val="22"/>
          <w:szCs w:val="22"/>
        </w:rPr>
      </w:pPr>
      <w:r w:rsidRPr="004D2F8F">
        <w:rPr>
          <w:rFonts w:asciiTheme="minorHAnsi" w:hAnsiTheme="minorHAnsi" w:cstheme="minorHAnsi"/>
          <w:bCs/>
          <w:sz w:val="22"/>
          <w:szCs w:val="22"/>
        </w:rPr>
        <w:t>AGH-Plätze werden grundsätzlich mit einem Umfang von bis zu 25 Wochenstunden eingerichtet.</w:t>
      </w:r>
    </w:p>
    <w:p w:rsidR="004D2F8F" w:rsidRPr="00BF55F3" w:rsidRDefault="004D2F8F" w:rsidP="00310B5B">
      <w:pPr>
        <w:numPr>
          <w:ilvl w:val="0"/>
          <w:numId w:val="2"/>
        </w:numPr>
        <w:tabs>
          <w:tab w:val="num" w:pos="360"/>
        </w:tabs>
        <w:spacing w:line="360" w:lineRule="auto"/>
        <w:ind w:left="360"/>
        <w:jc w:val="both"/>
        <w:rPr>
          <w:rFonts w:asciiTheme="minorHAnsi" w:hAnsiTheme="minorHAnsi" w:cstheme="minorHAnsi"/>
          <w:bCs/>
          <w:sz w:val="22"/>
          <w:szCs w:val="22"/>
        </w:rPr>
      </w:pPr>
      <w:r>
        <w:rPr>
          <w:rFonts w:asciiTheme="minorHAnsi" w:hAnsiTheme="minorHAnsi" w:cstheme="minorHAnsi"/>
          <w:sz w:val="22"/>
          <w:szCs w:val="22"/>
        </w:rPr>
        <w:t xml:space="preserve">Die </w:t>
      </w:r>
      <w:r w:rsidRPr="004D2F8F">
        <w:rPr>
          <w:rFonts w:asciiTheme="minorHAnsi" w:hAnsiTheme="minorHAnsi" w:cstheme="minorHAnsi"/>
          <w:sz w:val="22"/>
          <w:szCs w:val="22"/>
        </w:rPr>
        <w:t>Mehraufwandsentschädigung richtet sich nach der Entfernung Wohnort-</w:t>
      </w:r>
      <w:proofErr w:type="spellStart"/>
      <w:r w:rsidRPr="004D2F8F">
        <w:rPr>
          <w:rFonts w:asciiTheme="minorHAnsi" w:hAnsiTheme="minorHAnsi" w:cstheme="minorHAnsi"/>
          <w:sz w:val="22"/>
          <w:szCs w:val="22"/>
        </w:rPr>
        <w:t>Maßnahmeort</w:t>
      </w:r>
      <w:proofErr w:type="spellEnd"/>
      <w:r w:rsidRPr="004D2F8F">
        <w:rPr>
          <w:rFonts w:asciiTheme="minorHAnsi" w:hAnsiTheme="minorHAnsi" w:cstheme="minorHAnsi"/>
          <w:sz w:val="22"/>
          <w:szCs w:val="22"/>
        </w:rPr>
        <w:t xml:space="preserve"> und umfasst folgende</w:t>
      </w:r>
      <w:r>
        <w:rPr>
          <w:rFonts w:asciiTheme="minorHAnsi" w:hAnsiTheme="minorHAnsi" w:cstheme="minorHAnsi"/>
          <w:sz w:val="22"/>
          <w:szCs w:val="22"/>
        </w:rPr>
        <w:t xml:space="preserve"> Wert:</w:t>
      </w:r>
    </w:p>
    <w:p w:rsidR="00BF55F3" w:rsidRDefault="00BF55F3" w:rsidP="00BF55F3">
      <w:pPr>
        <w:spacing w:line="360" w:lineRule="auto"/>
        <w:jc w:val="both"/>
        <w:rPr>
          <w:rFonts w:asciiTheme="minorHAnsi" w:hAnsiTheme="minorHAnsi" w:cstheme="minorHAnsi"/>
          <w:sz w:val="22"/>
          <w:szCs w:val="22"/>
        </w:rPr>
      </w:pPr>
    </w:p>
    <w:p w:rsidR="00BF55F3" w:rsidRPr="004D2F8F" w:rsidRDefault="00BF55F3" w:rsidP="00BF55F3">
      <w:pPr>
        <w:spacing w:line="360" w:lineRule="auto"/>
        <w:jc w:val="both"/>
        <w:rPr>
          <w:rFonts w:asciiTheme="minorHAnsi" w:hAnsiTheme="minorHAnsi" w:cstheme="minorHAnsi"/>
          <w:bCs/>
          <w:sz w:val="22"/>
          <w:szCs w:val="22"/>
        </w:rPr>
      </w:pPr>
    </w:p>
    <w:p w:rsidR="004D2F8F" w:rsidRPr="004D2F8F" w:rsidRDefault="004D2F8F" w:rsidP="004D2F8F">
      <w:pPr>
        <w:autoSpaceDE w:val="0"/>
        <w:autoSpaceDN w:val="0"/>
        <w:adjustRightInd w:val="0"/>
        <w:ind w:left="426"/>
        <w:jc w:val="right"/>
        <w:rPr>
          <w:rFonts w:asciiTheme="minorHAnsi" w:hAnsiTheme="minorHAnsi" w:cstheme="minorHAnsi"/>
          <w:sz w:val="22"/>
          <w:szCs w:val="22"/>
        </w:rPr>
      </w:pPr>
      <w:r w:rsidRPr="004D2F8F">
        <w:rPr>
          <w:rFonts w:asciiTheme="minorHAnsi" w:hAnsiTheme="minorHAnsi" w:cstheme="minorHAnsi"/>
          <w:sz w:val="22"/>
          <w:szCs w:val="22"/>
        </w:rPr>
        <w:t xml:space="preserve">Entfernung Wohnort – </w:t>
      </w:r>
      <w:proofErr w:type="spellStart"/>
      <w:r w:rsidRPr="004D2F8F">
        <w:rPr>
          <w:rFonts w:asciiTheme="minorHAnsi" w:hAnsiTheme="minorHAnsi" w:cstheme="minorHAnsi"/>
          <w:sz w:val="22"/>
          <w:szCs w:val="22"/>
        </w:rPr>
        <w:t>Maßnahmeort</w:t>
      </w:r>
      <w:proofErr w:type="spellEnd"/>
      <w:r w:rsidRPr="004D2F8F">
        <w:rPr>
          <w:rFonts w:asciiTheme="minorHAnsi" w:hAnsiTheme="minorHAnsi" w:cstheme="minorHAnsi"/>
          <w:sz w:val="22"/>
          <w:szCs w:val="22"/>
        </w:rPr>
        <w:t xml:space="preserve"> </w:t>
      </w:r>
      <w:r w:rsidRPr="004D2F8F">
        <w:rPr>
          <w:rFonts w:asciiTheme="minorHAnsi" w:hAnsiTheme="minorHAnsi" w:cstheme="minorHAnsi"/>
          <w:sz w:val="22"/>
          <w:szCs w:val="22"/>
        </w:rPr>
        <w:tab/>
      </w:r>
      <w:r w:rsidRPr="004D2F8F">
        <w:rPr>
          <w:rFonts w:asciiTheme="minorHAnsi" w:hAnsiTheme="minorHAnsi" w:cstheme="minorHAnsi"/>
          <w:sz w:val="22"/>
          <w:szCs w:val="22"/>
        </w:rPr>
        <w:tab/>
        <w:t>Mehraufwandsentschädigung (MAE)</w:t>
      </w:r>
    </w:p>
    <w:p w:rsidR="004D2F8F" w:rsidRPr="004D2F8F" w:rsidRDefault="004D2F8F" w:rsidP="004D2F8F">
      <w:pPr>
        <w:autoSpaceDE w:val="0"/>
        <w:autoSpaceDN w:val="0"/>
        <w:adjustRightInd w:val="0"/>
        <w:ind w:left="426"/>
        <w:jc w:val="both"/>
        <w:rPr>
          <w:rFonts w:asciiTheme="minorHAnsi" w:hAnsiTheme="minorHAnsi" w:cstheme="minorHAnsi"/>
          <w:sz w:val="22"/>
          <w:szCs w:val="22"/>
        </w:rPr>
      </w:pPr>
      <w:r w:rsidRPr="004D2F8F">
        <w:rPr>
          <w:rFonts w:asciiTheme="minorHAnsi" w:hAnsiTheme="minorHAnsi" w:cstheme="minorHAnsi"/>
          <w:sz w:val="22"/>
          <w:szCs w:val="22"/>
        </w:rPr>
        <w:t>Stufe 1</w:t>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t xml:space="preserve">0 – 5 </w:t>
      </w:r>
      <w:r w:rsidRPr="004D2F8F">
        <w:rPr>
          <w:rFonts w:asciiTheme="minorHAnsi" w:hAnsiTheme="minorHAnsi" w:cstheme="minorHAnsi"/>
          <w:sz w:val="22"/>
          <w:szCs w:val="22"/>
        </w:rPr>
        <w:tab/>
        <w:t>km</w:t>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t>1,25 € / Std.</w:t>
      </w:r>
    </w:p>
    <w:p w:rsidR="004D2F8F" w:rsidRPr="004D2F8F" w:rsidRDefault="004D2F8F" w:rsidP="004D2F8F">
      <w:pPr>
        <w:autoSpaceDE w:val="0"/>
        <w:autoSpaceDN w:val="0"/>
        <w:adjustRightInd w:val="0"/>
        <w:ind w:left="426"/>
        <w:jc w:val="both"/>
        <w:rPr>
          <w:rFonts w:asciiTheme="minorHAnsi" w:hAnsiTheme="minorHAnsi" w:cstheme="minorHAnsi"/>
          <w:sz w:val="22"/>
          <w:szCs w:val="22"/>
          <w:u w:val="single"/>
        </w:rPr>
      </w:pPr>
      <w:r w:rsidRPr="004D2F8F">
        <w:rPr>
          <w:rFonts w:asciiTheme="minorHAnsi" w:hAnsiTheme="minorHAnsi" w:cstheme="minorHAnsi"/>
          <w:sz w:val="22"/>
          <w:szCs w:val="22"/>
          <w:u w:val="single"/>
        </w:rPr>
        <w:t>Stufe 2</w:t>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t xml:space="preserve">6 – 10 </w:t>
      </w:r>
      <w:r w:rsidRPr="004D2F8F">
        <w:rPr>
          <w:rFonts w:asciiTheme="minorHAnsi" w:hAnsiTheme="minorHAnsi" w:cstheme="minorHAnsi"/>
          <w:sz w:val="22"/>
          <w:szCs w:val="22"/>
          <w:u w:val="single"/>
        </w:rPr>
        <w:tab/>
        <w:t xml:space="preserve">km </w:t>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008653FF">
        <w:rPr>
          <w:rFonts w:asciiTheme="minorHAnsi" w:hAnsiTheme="minorHAnsi" w:cstheme="minorHAnsi"/>
          <w:sz w:val="22"/>
          <w:szCs w:val="22"/>
          <w:u w:val="single"/>
        </w:rPr>
        <w:t>1,55</w:t>
      </w:r>
      <w:r w:rsidRPr="004D2F8F">
        <w:rPr>
          <w:rFonts w:asciiTheme="minorHAnsi" w:hAnsiTheme="minorHAnsi" w:cstheme="minorHAnsi"/>
          <w:sz w:val="22"/>
          <w:szCs w:val="22"/>
          <w:u w:val="single"/>
        </w:rPr>
        <w:t xml:space="preserve"> € / Std.</w:t>
      </w:r>
    </w:p>
    <w:p w:rsidR="004D2F8F" w:rsidRPr="004D2F8F" w:rsidRDefault="004D2F8F" w:rsidP="004D2F8F">
      <w:pPr>
        <w:autoSpaceDE w:val="0"/>
        <w:autoSpaceDN w:val="0"/>
        <w:adjustRightInd w:val="0"/>
        <w:ind w:left="426"/>
        <w:jc w:val="both"/>
        <w:rPr>
          <w:rFonts w:asciiTheme="minorHAnsi" w:hAnsiTheme="minorHAnsi" w:cstheme="minorHAnsi"/>
          <w:sz w:val="22"/>
          <w:szCs w:val="22"/>
        </w:rPr>
      </w:pPr>
      <w:r w:rsidRPr="004D2F8F">
        <w:rPr>
          <w:rFonts w:asciiTheme="minorHAnsi" w:hAnsiTheme="minorHAnsi" w:cstheme="minorHAnsi"/>
          <w:sz w:val="22"/>
          <w:szCs w:val="22"/>
        </w:rPr>
        <w:t>Stufe 3</w:t>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t>11 – 15</w:t>
      </w:r>
      <w:r w:rsidRPr="004D2F8F">
        <w:rPr>
          <w:rFonts w:asciiTheme="minorHAnsi" w:hAnsiTheme="minorHAnsi" w:cstheme="minorHAnsi"/>
          <w:sz w:val="22"/>
          <w:szCs w:val="22"/>
        </w:rPr>
        <w:tab/>
        <w:t>km</w:t>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r>
      <w:r w:rsidRPr="004D2F8F">
        <w:rPr>
          <w:rFonts w:asciiTheme="minorHAnsi" w:hAnsiTheme="minorHAnsi" w:cstheme="minorHAnsi"/>
          <w:sz w:val="22"/>
          <w:szCs w:val="22"/>
        </w:rPr>
        <w:tab/>
      </w:r>
      <w:r w:rsidR="008653FF">
        <w:rPr>
          <w:rFonts w:asciiTheme="minorHAnsi" w:hAnsiTheme="minorHAnsi" w:cstheme="minorHAnsi"/>
          <w:sz w:val="22"/>
          <w:szCs w:val="22"/>
        </w:rPr>
        <w:t>1,70</w:t>
      </w:r>
      <w:r w:rsidRPr="004D2F8F">
        <w:rPr>
          <w:rFonts w:asciiTheme="minorHAnsi" w:hAnsiTheme="minorHAnsi" w:cstheme="minorHAnsi"/>
          <w:sz w:val="22"/>
          <w:szCs w:val="22"/>
        </w:rPr>
        <w:t xml:space="preserve"> € / Std.</w:t>
      </w:r>
    </w:p>
    <w:p w:rsidR="004D2F8F" w:rsidRPr="004D2F8F" w:rsidRDefault="004D2F8F" w:rsidP="004D2F8F">
      <w:pPr>
        <w:autoSpaceDE w:val="0"/>
        <w:autoSpaceDN w:val="0"/>
        <w:adjustRightInd w:val="0"/>
        <w:ind w:left="426"/>
        <w:jc w:val="both"/>
        <w:rPr>
          <w:rFonts w:asciiTheme="minorHAnsi" w:hAnsiTheme="minorHAnsi" w:cstheme="minorHAnsi"/>
          <w:sz w:val="22"/>
          <w:szCs w:val="22"/>
          <w:u w:val="single"/>
        </w:rPr>
      </w:pPr>
      <w:r w:rsidRPr="004D2F8F">
        <w:rPr>
          <w:rFonts w:asciiTheme="minorHAnsi" w:hAnsiTheme="minorHAnsi" w:cstheme="minorHAnsi"/>
          <w:sz w:val="22"/>
          <w:szCs w:val="22"/>
          <w:u w:val="single"/>
        </w:rPr>
        <w:t>Stufe 4</w:t>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t>16 – 20</w:t>
      </w:r>
      <w:r w:rsidRPr="004D2F8F">
        <w:rPr>
          <w:rFonts w:asciiTheme="minorHAnsi" w:hAnsiTheme="minorHAnsi" w:cstheme="minorHAnsi"/>
          <w:sz w:val="22"/>
          <w:szCs w:val="22"/>
          <w:u w:val="single"/>
        </w:rPr>
        <w:tab/>
        <w:t>km</w:t>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Pr="004D2F8F">
        <w:rPr>
          <w:rFonts w:asciiTheme="minorHAnsi" w:hAnsiTheme="minorHAnsi" w:cstheme="minorHAnsi"/>
          <w:sz w:val="22"/>
          <w:szCs w:val="22"/>
          <w:u w:val="single"/>
        </w:rPr>
        <w:tab/>
      </w:r>
      <w:r w:rsidR="008653FF">
        <w:rPr>
          <w:rFonts w:asciiTheme="minorHAnsi" w:hAnsiTheme="minorHAnsi" w:cstheme="minorHAnsi"/>
          <w:sz w:val="22"/>
          <w:szCs w:val="22"/>
          <w:u w:val="single"/>
        </w:rPr>
        <w:t>1,85</w:t>
      </w:r>
      <w:r w:rsidRPr="004D2F8F">
        <w:rPr>
          <w:rFonts w:asciiTheme="minorHAnsi" w:hAnsiTheme="minorHAnsi" w:cstheme="minorHAnsi"/>
          <w:sz w:val="22"/>
          <w:szCs w:val="22"/>
          <w:u w:val="single"/>
        </w:rPr>
        <w:t xml:space="preserve"> € / Std.</w:t>
      </w:r>
    </w:p>
    <w:p w:rsidR="004D2F8F" w:rsidRPr="004D2F8F" w:rsidRDefault="008653FF" w:rsidP="004D2F8F">
      <w:pPr>
        <w:autoSpaceDE w:val="0"/>
        <w:autoSpaceDN w:val="0"/>
        <w:adjustRightInd w:val="0"/>
        <w:ind w:left="426"/>
        <w:jc w:val="both"/>
        <w:rPr>
          <w:rFonts w:asciiTheme="minorHAnsi" w:hAnsiTheme="minorHAnsi" w:cstheme="minorHAnsi"/>
          <w:sz w:val="22"/>
          <w:szCs w:val="22"/>
        </w:rPr>
      </w:pPr>
      <w:r>
        <w:rPr>
          <w:rFonts w:asciiTheme="minorHAnsi" w:hAnsiTheme="minorHAnsi" w:cstheme="minorHAnsi"/>
          <w:sz w:val="22"/>
          <w:szCs w:val="22"/>
        </w:rPr>
        <w:t>Stufe 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ab 21 </w:t>
      </w:r>
      <w:r w:rsidR="004D2F8F" w:rsidRPr="004D2F8F">
        <w:rPr>
          <w:rFonts w:asciiTheme="minorHAnsi" w:hAnsiTheme="minorHAnsi" w:cstheme="minorHAnsi"/>
          <w:sz w:val="22"/>
          <w:szCs w:val="22"/>
        </w:rPr>
        <w:t>km</w:t>
      </w:r>
      <w:r w:rsidR="004D2F8F" w:rsidRPr="004D2F8F">
        <w:rPr>
          <w:rFonts w:asciiTheme="minorHAnsi" w:hAnsiTheme="minorHAnsi" w:cstheme="minorHAnsi"/>
          <w:sz w:val="22"/>
          <w:szCs w:val="22"/>
        </w:rPr>
        <w:tab/>
      </w:r>
      <w:r w:rsidR="004D2F8F" w:rsidRPr="004D2F8F">
        <w:rPr>
          <w:rFonts w:asciiTheme="minorHAnsi" w:hAnsiTheme="minorHAnsi" w:cstheme="minorHAnsi"/>
          <w:sz w:val="22"/>
          <w:szCs w:val="22"/>
        </w:rPr>
        <w:tab/>
      </w:r>
      <w:r w:rsidR="004D2F8F" w:rsidRPr="004D2F8F">
        <w:rPr>
          <w:rFonts w:asciiTheme="minorHAnsi" w:hAnsiTheme="minorHAnsi" w:cstheme="minorHAnsi"/>
          <w:sz w:val="22"/>
          <w:szCs w:val="22"/>
        </w:rPr>
        <w:tab/>
      </w:r>
      <w:r w:rsidR="004D2F8F" w:rsidRPr="004D2F8F">
        <w:rPr>
          <w:rFonts w:asciiTheme="minorHAnsi" w:hAnsiTheme="minorHAnsi" w:cstheme="minorHAnsi"/>
          <w:sz w:val="22"/>
          <w:szCs w:val="22"/>
        </w:rPr>
        <w:tab/>
      </w:r>
      <w:r w:rsidR="004D2F8F" w:rsidRPr="004D2F8F">
        <w:rPr>
          <w:rFonts w:asciiTheme="minorHAnsi" w:hAnsiTheme="minorHAnsi" w:cstheme="minorHAnsi"/>
          <w:sz w:val="22"/>
          <w:szCs w:val="22"/>
        </w:rPr>
        <w:tab/>
      </w:r>
      <w:r w:rsidR="004D2F8F" w:rsidRPr="004D2F8F">
        <w:rPr>
          <w:rFonts w:asciiTheme="minorHAnsi" w:hAnsiTheme="minorHAnsi" w:cstheme="minorHAnsi"/>
          <w:sz w:val="22"/>
          <w:szCs w:val="22"/>
        </w:rPr>
        <w:tab/>
      </w:r>
      <w:r>
        <w:rPr>
          <w:rFonts w:asciiTheme="minorHAnsi" w:hAnsiTheme="minorHAnsi" w:cstheme="minorHAnsi"/>
          <w:sz w:val="22"/>
          <w:szCs w:val="22"/>
        </w:rPr>
        <w:t>2,00</w:t>
      </w:r>
      <w:r w:rsidR="004D2F8F" w:rsidRPr="004D2F8F">
        <w:rPr>
          <w:rFonts w:asciiTheme="minorHAnsi" w:hAnsiTheme="minorHAnsi" w:cstheme="minorHAnsi"/>
          <w:sz w:val="22"/>
          <w:szCs w:val="22"/>
        </w:rPr>
        <w:t xml:space="preserve"> € / Std.</w:t>
      </w:r>
    </w:p>
    <w:p w:rsidR="00BD6440" w:rsidRDefault="00BD6440" w:rsidP="004D2F8F">
      <w:pPr>
        <w:spacing w:line="360" w:lineRule="auto"/>
        <w:ind w:left="426"/>
        <w:jc w:val="both"/>
        <w:rPr>
          <w:rFonts w:asciiTheme="minorHAnsi" w:hAnsiTheme="minorHAnsi" w:cstheme="minorHAnsi"/>
          <w:bCs/>
          <w:sz w:val="22"/>
          <w:szCs w:val="22"/>
          <w:u w:val="single"/>
        </w:rPr>
      </w:pPr>
    </w:p>
    <w:p w:rsidR="004D2F8F" w:rsidRDefault="004D2F8F" w:rsidP="004D2F8F">
      <w:pPr>
        <w:spacing w:line="360" w:lineRule="auto"/>
        <w:ind w:left="426"/>
        <w:jc w:val="both"/>
        <w:rPr>
          <w:rFonts w:asciiTheme="minorHAnsi" w:hAnsiTheme="minorHAnsi" w:cstheme="minorHAnsi"/>
          <w:bCs/>
          <w:sz w:val="22"/>
          <w:szCs w:val="22"/>
          <w:u w:val="single"/>
        </w:rPr>
      </w:pPr>
    </w:p>
    <w:p w:rsidR="0004712E" w:rsidRPr="002379B9" w:rsidRDefault="0004712E" w:rsidP="00310B5B">
      <w:pPr>
        <w:spacing w:line="360" w:lineRule="auto"/>
        <w:jc w:val="both"/>
        <w:rPr>
          <w:rFonts w:asciiTheme="minorHAnsi" w:hAnsiTheme="minorHAnsi" w:cs="System"/>
          <w:b/>
          <w:bCs/>
          <w:sz w:val="32"/>
          <w:szCs w:val="32"/>
          <w:u w:val="single"/>
        </w:rPr>
      </w:pPr>
      <w:r w:rsidRPr="002379B9">
        <w:rPr>
          <w:rFonts w:asciiTheme="minorHAnsi" w:hAnsiTheme="minorHAnsi" w:cs="System"/>
          <w:b/>
          <w:bCs/>
          <w:sz w:val="32"/>
          <w:szCs w:val="32"/>
          <w:u w:val="single"/>
        </w:rPr>
        <w:t>Freie Förderung (FF):</w:t>
      </w:r>
    </w:p>
    <w:p w:rsidR="0004712E" w:rsidRPr="002379B9" w:rsidRDefault="0004712E" w:rsidP="00310B5B">
      <w:pPr>
        <w:spacing w:line="360" w:lineRule="auto"/>
        <w:jc w:val="both"/>
        <w:rPr>
          <w:rFonts w:asciiTheme="minorHAnsi" w:hAnsiTheme="minorHAnsi" w:cs="System"/>
          <w:bCs/>
          <w:sz w:val="22"/>
          <w:szCs w:val="22"/>
        </w:rPr>
      </w:pPr>
    </w:p>
    <w:p w:rsidR="0004712E" w:rsidRPr="002379B9" w:rsidRDefault="0004712E"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u w:val="single"/>
        </w:rPr>
        <w:t>Rechtsgrundlage:</w:t>
      </w:r>
      <w:r w:rsidRPr="002379B9">
        <w:rPr>
          <w:rFonts w:asciiTheme="minorHAnsi" w:hAnsiTheme="minorHAnsi" w:cs="System"/>
          <w:bCs/>
          <w:sz w:val="22"/>
          <w:szCs w:val="22"/>
        </w:rPr>
        <w:t xml:space="preserve"> § 16 f SGB II</w:t>
      </w:r>
    </w:p>
    <w:p w:rsidR="0004712E" w:rsidRPr="002379B9" w:rsidRDefault="0004712E" w:rsidP="00310B5B">
      <w:pPr>
        <w:spacing w:line="360" w:lineRule="auto"/>
        <w:jc w:val="both"/>
        <w:rPr>
          <w:rFonts w:asciiTheme="minorHAnsi" w:hAnsiTheme="minorHAnsi" w:cs="Arial"/>
          <w:bCs/>
        </w:rPr>
      </w:pPr>
    </w:p>
    <w:p w:rsidR="0004712E" w:rsidRPr="002379B9" w:rsidRDefault="00371CE2" w:rsidP="00310B5B">
      <w:pPr>
        <w:autoSpaceDE w:val="0"/>
        <w:autoSpaceDN w:val="0"/>
        <w:adjustRightInd w:val="0"/>
        <w:spacing w:line="360" w:lineRule="auto"/>
        <w:jc w:val="both"/>
        <w:rPr>
          <w:rFonts w:asciiTheme="minorHAnsi" w:hAnsiTheme="minorHAnsi" w:cs="System"/>
          <w:bCs/>
          <w:sz w:val="22"/>
          <w:szCs w:val="22"/>
        </w:rPr>
      </w:pPr>
      <w:r>
        <w:rPr>
          <w:rFonts w:asciiTheme="minorHAnsi" w:hAnsiTheme="minorHAnsi" w:cs="System"/>
          <w:bCs/>
          <w:sz w:val="22"/>
          <w:szCs w:val="22"/>
        </w:rPr>
        <w:lastRenderedPageBreak/>
        <w:t>Die Anwendung der</w:t>
      </w:r>
      <w:r w:rsidR="0004712E" w:rsidRPr="002379B9">
        <w:rPr>
          <w:rFonts w:asciiTheme="minorHAnsi" w:hAnsiTheme="minorHAnsi" w:cs="System"/>
          <w:bCs/>
          <w:sz w:val="22"/>
          <w:szCs w:val="22"/>
        </w:rPr>
        <w:t xml:space="preserve"> o. g. </w:t>
      </w:r>
      <w:r>
        <w:rPr>
          <w:rFonts w:asciiTheme="minorHAnsi" w:hAnsiTheme="minorHAnsi" w:cs="System"/>
          <w:bCs/>
          <w:sz w:val="22"/>
          <w:szCs w:val="22"/>
        </w:rPr>
        <w:t>Rechtsgrundlage</w:t>
      </w:r>
      <w:r w:rsidR="0004712E" w:rsidRPr="002379B9">
        <w:rPr>
          <w:rFonts w:asciiTheme="minorHAnsi" w:hAnsiTheme="minorHAnsi" w:cs="System"/>
          <w:bCs/>
          <w:sz w:val="22"/>
          <w:szCs w:val="22"/>
        </w:rPr>
        <w:t xml:space="preserve"> ist nur im Vier-Augen-Prinzip mit 32 möglich. Aufgrund der Individualität der Bedürfnisse der Kunden und der Möglichkeiten </w:t>
      </w:r>
      <w:r>
        <w:rPr>
          <w:rFonts w:asciiTheme="minorHAnsi" w:hAnsiTheme="minorHAnsi" w:cs="System"/>
          <w:bCs/>
          <w:sz w:val="22"/>
          <w:szCs w:val="22"/>
        </w:rPr>
        <w:t>der Rechtsgrundlage</w:t>
      </w:r>
      <w:r w:rsidR="0004712E" w:rsidRPr="002379B9">
        <w:rPr>
          <w:rFonts w:asciiTheme="minorHAnsi" w:hAnsiTheme="minorHAnsi" w:cs="System"/>
          <w:bCs/>
          <w:sz w:val="22"/>
          <w:szCs w:val="22"/>
        </w:rPr>
        <w:t xml:space="preserve"> kann eine Auflistung der möglichen Förderleistungen nicht erfolgen.</w:t>
      </w:r>
    </w:p>
    <w:p w:rsidR="00A9023D" w:rsidRPr="002379B9" w:rsidRDefault="00A9023D" w:rsidP="00310B5B">
      <w:pPr>
        <w:spacing w:line="360" w:lineRule="auto"/>
        <w:jc w:val="both"/>
        <w:rPr>
          <w:rFonts w:asciiTheme="minorHAnsi" w:hAnsiTheme="minorHAnsi" w:cs="System"/>
          <w:bCs/>
          <w:sz w:val="22"/>
          <w:szCs w:val="22"/>
        </w:rPr>
      </w:pPr>
    </w:p>
    <w:p w:rsidR="00310B5B" w:rsidRPr="002379B9" w:rsidRDefault="00310B5B" w:rsidP="00310B5B">
      <w:pPr>
        <w:spacing w:line="360" w:lineRule="auto"/>
        <w:jc w:val="both"/>
        <w:rPr>
          <w:rFonts w:asciiTheme="minorHAnsi" w:hAnsiTheme="minorHAnsi" w:cs="System"/>
          <w:bCs/>
          <w:sz w:val="22"/>
          <w:szCs w:val="22"/>
        </w:rPr>
      </w:pPr>
    </w:p>
    <w:p w:rsidR="00A6053C" w:rsidRPr="002379B9" w:rsidRDefault="00A6053C" w:rsidP="00310B5B">
      <w:pPr>
        <w:spacing w:line="360" w:lineRule="auto"/>
        <w:jc w:val="both"/>
        <w:rPr>
          <w:rFonts w:asciiTheme="minorHAnsi" w:hAnsiTheme="minorHAnsi" w:cs="System"/>
          <w:b/>
          <w:bCs/>
          <w:sz w:val="32"/>
          <w:szCs w:val="32"/>
          <w:u w:val="single"/>
        </w:rPr>
      </w:pPr>
      <w:r w:rsidRPr="002379B9">
        <w:rPr>
          <w:rFonts w:asciiTheme="minorHAnsi" w:hAnsiTheme="minorHAnsi" w:cs="System"/>
          <w:b/>
          <w:bCs/>
          <w:sz w:val="32"/>
          <w:szCs w:val="32"/>
          <w:u w:val="single"/>
        </w:rPr>
        <w:t>Eingliederungszuschuss (EGZ)</w:t>
      </w:r>
    </w:p>
    <w:p w:rsidR="00043055" w:rsidRPr="002379B9" w:rsidRDefault="00043055" w:rsidP="00310B5B">
      <w:pPr>
        <w:spacing w:line="360" w:lineRule="auto"/>
        <w:jc w:val="both"/>
        <w:rPr>
          <w:rFonts w:asciiTheme="minorHAnsi" w:hAnsiTheme="minorHAnsi" w:cs="System"/>
          <w:bCs/>
          <w:sz w:val="22"/>
          <w:szCs w:val="22"/>
          <w:u w:val="single"/>
        </w:rPr>
      </w:pPr>
    </w:p>
    <w:p w:rsidR="00043055" w:rsidRPr="002379B9" w:rsidRDefault="00043055"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u w:val="single"/>
        </w:rPr>
        <w:t>Rechtsgrundlage:</w:t>
      </w:r>
      <w:r w:rsidRPr="002379B9">
        <w:rPr>
          <w:rFonts w:asciiTheme="minorHAnsi" w:hAnsiTheme="minorHAnsi" w:cs="System"/>
          <w:bCs/>
          <w:sz w:val="22"/>
          <w:szCs w:val="22"/>
        </w:rPr>
        <w:t xml:space="preserve"> </w:t>
      </w:r>
      <w:r w:rsidR="001D65FC" w:rsidRPr="00072B10">
        <w:rPr>
          <w:rFonts w:asciiTheme="minorHAnsi" w:hAnsiTheme="minorHAnsi" w:cs="System"/>
          <w:b/>
          <w:bCs/>
          <w:sz w:val="22"/>
          <w:szCs w:val="22"/>
        </w:rPr>
        <w:t>§ 16 Abs. 1 SGB II i.</w:t>
      </w:r>
      <w:r w:rsidR="00293227" w:rsidRPr="00072B10">
        <w:rPr>
          <w:rFonts w:asciiTheme="minorHAnsi" w:hAnsiTheme="minorHAnsi" w:cs="System"/>
          <w:b/>
          <w:bCs/>
          <w:sz w:val="22"/>
          <w:szCs w:val="22"/>
        </w:rPr>
        <w:t xml:space="preserve"> </w:t>
      </w:r>
      <w:r w:rsidR="001D65FC" w:rsidRPr="00072B10">
        <w:rPr>
          <w:rFonts w:asciiTheme="minorHAnsi" w:hAnsiTheme="minorHAnsi" w:cs="System"/>
          <w:b/>
          <w:bCs/>
          <w:sz w:val="22"/>
          <w:szCs w:val="22"/>
        </w:rPr>
        <w:t>V.</w:t>
      </w:r>
      <w:r w:rsidR="00293227" w:rsidRPr="00072B10">
        <w:rPr>
          <w:rFonts w:asciiTheme="minorHAnsi" w:hAnsiTheme="minorHAnsi" w:cs="System"/>
          <w:b/>
          <w:bCs/>
          <w:sz w:val="22"/>
          <w:szCs w:val="22"/>
        </w:rPr>
        <w:t xml:space="preserve"> </w:t>
      </w:r>
      <w:r w:rsidR="001D65FC" w:rsidRPr="00072B10">
        <w:rPr>
          <w:rFonts w:asciiTheme="minorHAnsi" w:hAnsiTheme="minorHAnsi" w:cs="System"/>
          <w:b/>
          <w:bCs/>
          <w:sz w:val="22"/>
          <w:szCs w:val="22"/>
        </w:rPr>
        <w:t xml:space="preserve">m. </w:t>
      </w:r>
      <w:r w:rsidRPr="00072B10">
        <w:rPr>
          <w:rFonts w:asciiTheme="minorHAnsi" w:hAnsiTheme="minorHAnsi" w:cs="System"/>
          <w:b/>
          <w:bCs/>
          <w:sz w:val="22"/>
          <w:szCs w:val="22"/>
        </w:rPr>
        <w:t>§</w:t>
      </w:r>
      <w:r w:rsidR="009408F4" w:rsidRPr="00072B10">
        <w:rPr>
          <w:rFonts w:asciiTheme="minorHAnsi" w:hAnsiTheme="minorHAnsi" w:cs="System"/>
          <w:b/>
          <w:bCs/>
          <w:sz w:val="22"/>
          <w:szCs w:val="22"/>
        </w:rPr>
        <w:t>88</w:t>
      </w:r>
      <w:r w:rsidR="00A07779" w:rsidRPr="00072B10">
        <w:rPr>
          <w:rFonts w:asciiTheme="minorHAnsi" w:hAnsiTheme="minorHAnsi" w:cs="System"/>
          <w:b/>
          <w:bCs/>
          <w:sz w:val="22"/>
          <w:szCs w:val="22"/>
        </w:rPr>
        <w:t xml:space="preserve"> ff SGB I</w:t>
      </w:r>
      <w:r w:rsidR="009408F4" w:rsidRPr="00072B10">
        <w:rPr>
          <w:rFonts w:asciiTheme="minorHAnsi" w:hAnsiTheme="minorHAnsi" w:cs="System"/>
          <w:b/>
          <w:bCs/>
          <w:sz w:val="22"/>
          <w:szCs w:val="22"/>
        </w:rPr>
        <w:t>II (EGZ)</w:t>
      </w:r>
    </w:p>
    <w:p w:rsidR="00AB741C" w:rsidRPr="002379B9" w:rsidRDefault="00AB741C" w:rsidP="00310B5B">
      <w:pPr>
        <w:spacing w:line="360" w:lineRule="auto"/>
        <w:jc w:val="both"/>
        <w:rPr>
          <w:rFonts w:asciiTheme="minorHAnsi" w:hAnsiTheme="minorHAnsi" w:cs="System"/>
          <w:bCs/>
          <w:sz w:val="22"/>
          <w:szCs w:val="22"/>
        </w:rPr>
      </w:pPr>
    </w:p>
    <w:p w:rsidR="00710D72" w:rsidRPr="002379B9" w:rsidRDefault="00710D72"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t>Die Förderung eines Arbeitsverhältnisses bei Ehegatten, Eltern und sonstigen Verwandten/Verschwägerten ist ausnahmsweise möglich, wenn:</w:t>
      </w:r>
    </w:p>
    <w:p w:rsidR="00710D72" w:rsidRPr="002379B9" w:rsidRDefault="00710D72" w:rsidP="00310B5B">
      <w:pPr>
        <w:numPr>
          <w:ilvl w:val="1"/>
          <w:numId w:val="7"/>
        </w:numPr>
        <w:spacing w:line="360" w:lineRule="auto"/>
        <w:jc w:val="both"/>
        <w:rPr>
          <w:rFonts w:asciiTheme="minorHAnsi" w:hAnsiTheme="minorHAnsi" w:cs="System"/>
          <w:bCs/>
          <w:sz w:val="22"/>
          <w:szCs w:val="22"/>
        </w:rPr>
      </w:pPr>
      <w:r w:rsidRPr="002379B9">
        <w:rPr>
          <w:rFonts w:asciiTheme="minorHAnsi" w:hAnsiTheme="minorHAnsi" w:cs="System"/>
          <w:bCs/>
          <w:sz w:val="22"/>
          <w:szCs w:val="22"/>
        </w:rPr>
        <w:t>Für den zu besetzenden Arbeitsplatz ein Vermittlungsauftrag ohne Beschränkung auf bestimmte Personen erteilt wurde,</w:t>
      </w:r>
    </w:p>
    <w:p w:rsidR="00710D72" w:rsidRPr="002379B9" w:rsidRDefault="00710D72" w:rsidP="00310B5B">
      <w:pPr>
        <w:numPr>
          <w:ilvl w:val="1"/>
          <w:numId w:val="7"/>
        </w:numPr>
        <w:spacing w:line="360" w:lineRule="auto"/>
        <w:jc w:val="both"/>
        <w:rPr>
          <w:rFonts w:asciiTheme="minorHAnsi" w:hAnsiTheme="minorHAnsi" w:cs="System"/>
          <w:bCs/>
          <w:sz w:val="22"/>
          <w:szCs w:val="22"/>
        </w:rPr>
      </w:pPr>
      <w:r w:rsidRPr="002379B9">
        <w:rPr>
          <w:rFonts w:asciiTheme="minorHAnsi" w:hAnsiTheme="minorHAnsi" w:cs="System"/>
          <w:bCs/>
          <w:sz w:val="22"/>
          <w:szCs w:val="22"/>
        </w:rPr>
        <w:t>Anderweitige Vermittlungsbemühungen wiederholt erfolglos waren und</w:t>
      </w:r>
    </w:p>
    <w:p w:rsidR="00710D72" w:rsidRPr="002379B9" w:rsidRDefault="00710D72" w:rsidP="00310B5B">
      <w:pPr>
        <w:numPr>
          <w:ilvl w:val="1"/>
          <w:numId w:val="7"/>
        </w:numPr>
        <w:spacing w:line="360" w:lineRule="auto"/>
        <w:jc w:val="both"/>
        <w:rPr>
          <w:rFonts w:asciiTheme="minorHAnsi" w:hAnsiTheme="minorHAnsi" w:cs="System"/>
          <w:bCs/>
          <w:sz w:val="22"/>
          <w:szCs w:val="22"/>
        </w:rPr>
      </w:pPr>
      <w:r w:rsidRPr="002379B9">
        <w:rPr>
          <w:rFonts w:asciiTheme="minorHAnsi" w:hAnsiTheme="minorHAnsi" w:cs="System"/>
          <w:bCs/>
          <w:sz w:val="22"/>
          <w:szCs w:val="22"/>
        </w:rPr>
        <w:t xml:space="preserve">Die Initiative zur Einstellung </w:t>
      </w:r>
      <w:r w:rsidR="00460C7E" w:rsidRPr="002379B9">
        <w:rPr>
          <w:rFonts w:asciiTheme="minorHAnsi" w:hAnsiTheme="minorHAnsi" w:cs="System"/>
          <w:bCs/>
          <w:sz w:val="22"/>
          <w:szCs w:val="22"/>
        </w:rPr>
        <w:t>vom Jobcenter</w:t>
      </w:r>
      <w:r w:rsidRPr="002379B9">
        <w:rPr>
          <w:rFonts w:asciiTheme="minorHAnsi" w:hAnsiTheme="minorHAnsi" w:cs="System"/>
          <w:bCs/>
          <w:sz w:val="22"/>
          <w:szCs w:val="22"/>
        </w:rPr>
        <w:t xml:space="preserve"> ausgeht.</w:t>
      </w:r>
    </w:p>
    <w:p w:rsidR="008B36B1" w:rsidRPr="002379B9" w:rsidRDefault="008B36B1" w:rsidP="00310B5B">
      <w:pPr>
        <w:spacing w:line="360" w:lineRule="auto"/>
        <w:jc w:val="both"/>
        <w:rPr>
          <w:rFonts w:asciiTheme="minorHAnsi" w:hAnsiTheme="minorHAnsi" w:cs="System"/>
          <w:bCs/>
          <w:sz w:val="22"/>
          <w:szCs w:val="22"/>
        </w:rPr>
      </w:pPr>
    </w:p>
    <w:p w:rsidR="00710D72" w:rsidRPr="002379B9" w:rsidRDefault="00710D72"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t xml:space="preserve">Nicht förderbar sind Beschäftigungsverhältnisse mit Personen, bei denen das Interesse des Arbeitgebers an deren Einstellung gegenüber den </w:t>
      </w:r>
      <w:proofErr w:type="spellStart"/>
      <w:r w:rsidRPr="002379B9">
        <w:rPr>
          <w:rFonts w:asciiTheme="minorHAnsi" w:hAnsiTheme="minorHAnsi" w:cs="System"/>
          <w:bCs/>
          <w:sz w:val="22"/>
          <w:szCs w:val="22"/>
        </w:rPr>
        <w:t>arbeitsmarktlichen</w:t>
      </w:r>
      <w:proofErr w:type="spellEnd"/>
      <w:r w:rsidRPr="002379B9">
        <w:rPr>
          <w:rFonts w:asciiTheme="minorHAnsi" w:hAnsiTheme="minorHAnsi" w:cs="System"/>
          <w:bCs/>
          <w:sz w:val="22"/>
          <w:szCs w:val="22"/>
        </w:rPr>
        <w:t xml:space="preserve"> Interessen überwiegt.</w:t>
      </w:r>
    </w:p>
    <w:p w:rsidR="00710D72" w:rsidRPr="002379B9" w:rsidRDefault="00710D72" w:rsidP="00310B5B">
      <w:pPr>
        <w:spacing w:line="360" w:lineRule="auto"/>
        <w:jc w:val="both"/>
        <w:rPr>
          <w:rFonts w:asciiTheme="minorHAnsi" w:hAnsiTheme="minorHAnsi" w:cs="System"/>
          <w:bCs/>
          <w:sz w:val="22"/>
          <w:szCs w:val="22"/>
        </w:rPr>
      </w:pPr>
    </w:p>
    <w:p w:rsidR="00AB741C" w:rsidRPr="005D6A8E" w:rsidRDefault="005D6A8E" w:rsidP="005D6A8E">
      <w:pPr>
        <w:numPr>
          <w:ilvl w:val="0"/>
          <w:numId w:val="7"/>
        </w:numPr>
        <w:spacing w:line="360" w:lineRule="auto"/>
        <w:jc w:val="both"/>
        <w:rPr>
          <w:rFonts w:asciiTheme="minorHAnsi" w:hAnsiTheme="minorHAnsi" w:cs="System"/>
          <w:bCs/>
          <w:sz w:val="22"/>
          <w:szCs w:val="22"/>
        </w:rPr>
      </w:pPr>
      <w:r>
        <w:rPr>
          <w:rFonts w:asciiTheme="minorHAnsi" w:hAnsiTheme="minorHAnsi" w:cs="System"/>
          <w:bCs/>
          <w:sz w:val="22"/>
          <w:szCs w:val="22"/>
        </w:rPr>
        <w:t>Es gelten die gesetzlichen Regelungen zum Mindestlohn</w:t>
      </w:r>
      <w:r w:rsidR="00A673B9">
        <w:rPr>
          <w:rFonts w:asciiTheme="minorHAnsi" w:hAnsiTheme="minorHAnsi" w:cs="System"/>
          <w:bCs/>
          <w:sz w:val="22"/>
          <w:szCs w:val="22"/>
        </w:rPr>
        <w:t>.</w:t>
      </w:r>
      <w:r>
        <w:rPr>
          <w:rFonts w:asciiTheme="minorHAnsi" w:hAnsiTheme="minorHAnsi" w:cs="System"/>
          <w:bCs/>
          <w:sz w:val="22"/>
          <w:szCs w:val="22"/>
        </w:rPr>
        <w:t xml:space="preserve"> Vergleiche hierzu auch </w:t>
      </w:r>
      <w:hyperlink r:id="rId9" w:history="1">
        <w:r w:rsidRPr="005D6A8E">
          <w:rPr>
            <w:rStyle w:val="Hyperlink"/>
            <w:rFonts w:asciiTheme="minorHAnsi" w:hAnsiTheme="minorHAnsi" w:cs="System"/>
            <w:bCs/>
            <w:sz w:val="22"/>
            <w:szCs w:val="22"/>
          </w:rPr>
          <w:t>https://www.baintranet.de/002/004/002/001/Documents/GA-EGZ-2014-12.pdf</w:t>
        </w:r>
      </w:hyperlink>
      <w:r w:rsidRPr="005D6A8E">
        <w:rPr>
          <w:rFonts w:asciiTheme="minorHAnsi" w:hAnsiTheme="minorHAnsi" w:cs="System"/>
          <w:bCs/>
          <w:sz w:val="22"/>
          <w:szCs w:val="22"/>
        </w:rPr>
        <w:t xml:space="preserve">. </w:t>
      </w:r>
    </w:p>
    <w:p w:rsidR="00293227" w:rsidRPr="005D6A8E" w:rsidRDefault="002A75AD" w:rsidP="00AA60E2">
      <w:pPr>
        <w:numPr>
          <w:ilvl w:val="0"/>
          <w:numId w:val="7"/>
        </w:numPr>
        <w:spacing w:line="360" w:lineRule="auto"/>
        <w:jc w:val="both"/>
        <w:rPr>
          <w:rFonts w:asciiTheme="minorHAnsi" w:hAnsiTheme="minorHAnsi" w:cs="System"/>
          <w:bCs/>
          <w:sz w:val="22"/>
          <w:szCs w:val="22"/>
        </w:rPr>
      </w:pPr>
      <w:r w:rsidRPr="005D6A8E">
        <w:rPr>
          <w:rFonts w:asciiTheme="minorHAnsi" w:hAnsiTheme="minorHAnsi" w:cs="System"/>
          <w:bCs/>
          <w:sz w:val="22"/>
          <w:szCs w:val="22"/>
        </w:rPr>
        <w:t>Es gelten die gesetzlichen Rahmenbedingungen</w:t>
      </w:r>
      <w:r w:rsidR="00AA60E2" w:rsidRPr="005D6A8E">
        <w:rPr>
          <w:rFonts w:asciiTheme="minorHAnsi" w:hAnsiTheme="minorHAnsi" w:cs="System"/>
          <w:bCs/>
          <w:sz w:val="22"/>
          <w:szCs w:val="22"/>
        </w:rPr>
        <w:t xml:space="preserve"> hinsichtlich Höhe und Dauer der Förderung.</w:t>
      </w:r>
    </w:p>
    <w:p w:rsidR="002C477F" w:rsidRPr="005D6A8E" w:rsidRDefault="002C477F" w:rsidP="00AA60E2">
      <w:pPr>
        <w:numPr>
          <w:ilvl w:val="0"/>
          <w:numId w:val="7"/>
        </w:numPr>
        <w:spacing w:line="360" w:lineRule="auto"/>
        <w:jc w:val="both"/>
        <w:rPr>
          <w:rFonts w:asciiTheme="minorHAnsi" w:hAnsiTheme="minorHAnsi" w:cs="System"/>
          <w:bCs/>
          <w:sz w:val="22"/>
          <w:szCs w:val="22"/>
        </w:rPr>
      </w:pPr>
      <w:r w:rsidRPr="005D6A8E">
        <w:rPr>
          <w:rFonts w:asciiTheme="minorHAnsi" w:hAnsiTheme="minorHAnsi" w:cs="System"/>
          <w:bCs/>
          <w:sz w:val="22"/>
          <w:szCs w:val="22"/>
        </w:rPr>
        <w:t>Grundsätzlich soll die Förderdauer 6 Monate nicht überschreiten.</w:t>
      </w:r>
    </w:p>
    <w:p w:rsidR="002A75AD" w:rsidRPr="002379B9" w:rsidRDefault="002A75AD" w:rsidP="00310B5B">
      <w:pPr>
        <w:spacing w:line="360" w:lineRule="auto"/>
        <w:ind w:firstLine="360"/>
        <w:jc w:val="both"/>
        <w:rPr>
          <w:rFonts w:asciiTheme="minorHAnsi" w:hAnsiTheme="minorHAnsi" w:cs="System"/>
          <w:bCs/>
          <w:sz w:val="22"/>
          <w:szCs w:val="22"/>
        </w:rPr>
      </w:pPr>
    </w:p>
    <w:p w:rsidR="007A4BC2" w:rsidRPr="002379B9" w:rsidRDefault="007A4BC2" w:rsidP="00310B5B">
      <w:pPr>
        <w:spacing w:line="360" w:lineRule="auto"/>
        <w:ind w:firstLine="360"/>
        <w:jc w:val="both"/>
        <w:rPr>
          <w:rFonts w:asciiTheme="minorHAnsi" w:hAnsiTheme="minorHAnsi" w:cs="System"/>
          <w:bCs/>
          <w:sz w:val="22"/>
          <w:szCs w:val="22"/>
        </w:rPr>
      </w:pPr>
    </w:p>
    <w:p w:rsidR="009E302B" w:rsidRPr="002379B9" w:rsidRDefault="009E302B" w:rsidP="00310B5B">
      <w:pPr>
        <w:spacing w:line="360" w:lineRule="auto"/>
        <w:jc w:val="both"/>
        <w:rPr>
          <w:rFonts w:asciiTheme="minorHAnsi" w:hAnsiTheme="minorHAnsi" w:cs="System"/>
          <w:b/>
          <w:bCs/>
          <w:sz w:val="32"/>
          <w:szCs w:val="32"/>
          <w:u w:val="single"/>
        </w:rPr>
      </w:pPr>
      <w:r w:rsidRPr="002379B9">
        <w:rPr>
          <w:rFonts w:asciiTheme="minorHAnsi" w:hAnsiTheme="minorHAnsi" w:cs="System"/>
          <w:b/>
          <w:bCs/>
          <w:sz w:val="32"/>
          <w:szCs w:val="32"/>
          <w:u w:val="single"/>
        </w:rPr>
        <w:t>Berufliche Weiterbildung</w:t>
      </w:r>
    </w:p>
    <w:p w:rsidR="009E302B" w:rsidRPr="002379B9" w:rsidRDefault="009E302B" w:rsidP="00310B5B">
      <w:pPr>
        <w:spacing w:line="360" w:lineRule="auto"/>
        <w:jc w:val="both"/>
        <w:rPr>
          <w:rFonts w:asciiTheme="minorHAnsi" w:hAnsiTheme="minorHAnsi" w:cs="System"/>
          <w:bCs/>
          <w:sz w:val="22"/>
          <w:szCs w:val="22"/>
          <w:u w:val="single"/>
        </w:rPr>
      </w:pPr>
    </w:p>
    <w:p w:rsidR="009E302B" w:rsidRPr="002379B9" w:rsidRDefault="009E302B"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u w:val="single"/>
        </w:rPr>
        <w:t>Rechtsgrundlage</w:t>
      </w:r>
      <w:r w:rsidR="009408F4">
        <w:rPr>
          <w:rFonts w:asciiTheme="minorHAnsi" w:hAnsiTheme="minorHAnsi" w:cs="System"/>
          <w:bCs/>
          <w:sz w:val="22"/>
          <w:szCs w:val="22"/>
        </w:rPr>
        <w:t xml:space="preserve">: § 16 Abs. 1 SGB II </w:t>
      </w:r>
      <w:proofErr w:type="spellStart"/>
      <w:r w:rsidR="009408F4">
        <w:rPr>
          <w:rFonts w:asciiTheme="minorHAnsi" w:hAnsiTheme="minorHAnsi" w:cs="System"/>
          <w:bCs/>
          <w:sz w:val="22"/>
          <w:szCs w:val="22"/>
        </w:rPr>
        <w:t>i.V.m</w:t>
      </w:r>
      <w:proofErr w:type="spellEnd"/>
      <w:r w:rsidR="009408F4">
        <w:rPr>
          <w:rFonts w:asciiTheme="minorHAnsi" w:hAnsiTheme="minorHAnsi" w:cs="System"/>
          <w:bCs/>
          <w:sz w:val="22"/>
          <w:szCs w:val="22"/>
        </w:rPr>
        <w:t>. § 81</w:t>
      </w:r>
      <w:r w:rsidRPr="002379B9">
        <w:rPr>
          <w:rFonts w:asciiTheme="minorHAnsi" w:hAnsiTheme="minorHAnsi" w:cs="System"/>
          <w:bCs/>
          <w:sz w:val="22"/>
          <w:szCs w:val="22"/>
        </w:rPr>
        <w:t xml:space="preserve"> ff SGB III </w:t>
      </w:r>
    </w:p>
    <w:p w:rsidR="009E302B" w:rsidRPr="002379B9" w:rsidRDefault="009E302B" w:rsidP="00310B5B">
      <w:pPr>
        <w:spacing w:line="360" w:lineRule="auto"/>
        <w:jc w:val="both"/>
        <w:rPr>
          <w:rFonts w:asciiTheme="minorHAnsi" w:hAnsiTheme="minorHAnsi" w:cs="System"/>
          <w:bCs/>
          <w:sz w:val="22"/>
          <w:szCs w:val="22"/>
        </w:rPr>
      </w:pPr>
    </w:p>
    <w:p w:rsidR="0047774E" w:rsidRDefault="0047774E"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t>Bei der Förderung der beruflichen Weiterbildung müssen die jeweiligen Voraussetzung gem. § 77 SGB III und die persönlichen Voraussetzungen des Kunden erfüllt sein (vor Ausgabe des Bildungsgutscheins). Hierzu gehören a</w:t>
      </w:r>
      <w:r w:rsidR="00E46248">
        <w:rPr>
          <w:rFonts w:asciiTheme="minorHAnsi" w:hAnsiTheme="minorHAnsi" w:cs="System"/>
          <w:bCs/>
          <w:sz w:val="22"/>
          <w:szCs w:val="22"/>
        </w:rPr>
        <w:t>uch die kognitiven Leistungen</w:t>
      </w:r>
      <w:r w:rsidRPr="002379B9">
        <w:rPr>
          <w:rFonts w:asciiTheme="minorHAnsi" w:hAnsiTheme="minorHAnsi" w:cs="System"/>
          <w:bCs/>
          <w:sz w:val="22"/>
          <w:szCs w:val="22"/>
        </w:rPr>
        <w:t xml:space="preserve"> sowie die rechtlichen Voraussetzungen</w:t>
      </w:r>
      <w:r w:rsidR="00E46248">
        <w:rPr>
          <w:rFonts w:asciiTheme="minorHAnsi" w:hAnsiTheme="minorHAnsi" w:cs="System"/>
          <w:bCs/>
          <w:sz w:val="22"/>
          <w:szCs w:val="22"/>
        </w:rPr>
        <w:t>.</w:t>
      </w:r>
    </w:p>
    <w:p w:rsidR="00E46248" w:rsidRDefault="00E46248" w:rsidP="00310B5B">
      <w:pPr>
        <w:spacing w:line="360" w:lineRule="auto"/>
        <w:jc w:val="both"/>
        <w:rPr>
          <w:rFonts w:asciiTheme="minorHAnsi" w:hAnsiTheme="minorHAnsi" w:cs="System"/>
          <w:bCs/>
          <w:sz w:val="22"/>
          <w:szCs w:val="22"/>
        </w:rPr>
      </w:pPr>
    </w:p>
    <w:p w:rsidR="00A54957" w:rsidRPr="002379B9" w:rsidRDefault="00CB3FB6" w:rsidP="00310B5B">
      <w:pPr>
        <w:spacing w:line="360" w:lineRule="auto"/>
        <w:jc w:val="both"/>
        <w:rPr>
          <w:rFonts w:asciiTheme="minorHAnsi" w:hAnsiTheme="minorHAnsi" w:cs="System"/>
          <w:bCs/>
          <w:sz w:val="22"/>
          <w:szCs w:val="22"/>
        </w:rPr>
      </w:pPr>
      <w:r w:rsidRPr="002379B9">
        <w:rPr>
          <w:rFonts w:asciiTheme="minorHAnsi" w:hAnsiTheme="minorHAnsi" w:cs="System"/>
          <w:bCs/>
          <w:sz w:val="22"/>
          <w:szCs w:val="22"/>
        </w:rPr>
        <w:t>g</w:t>
      </w:r>
      <w:r w:rsidR="00A54957" w:rsidRPr="002379B9">
        <w:rPr>
          <w:rFonts w:asciiTheme="minorHAnsi" w:hAnsiTheme="minorHAnsi" w:cs="System"/>
          <w:bCs/>
          <w:sz w:val="22"/>
          <w:szCs w:val="22"/>
        </w:rPr>
        <w:t>ez.</w:t>
      </w:r>
    </w:p>
    <w:p w:rsidR="00A54957" w:rsidRDefault="00BA4E86" w:rsidP="00310B5B">
      <w:pPr>
        <w:spacing w:line="360" w:lineRule="auto"/>
        <w:jc w:val="both"/>
        <w:rPr>
          <w:rFonts w:asciiTheme="minorHAnsi" w:hAnsiTheme="minorHAnsi" w:cs="System"/>
          <w:bCs/>
          <w:sz w:val="22"/>
          <w:szCs w:val="22"/>
        </w:rPr>
      </w:pPr>
      <w:r>
        <w:rPr>
          <w:rFonts w:asciiTheme="minorHAnsi" w:hAnsiTheme="minorHAnsi" w:cs="System"/>
          <w:bCs/>
          <w:sz w:val="22"/>
          <w:szCs w:val="22"/>
        </w:rPr>
        <w:t>Bernd Burgschneider</w:t>
      </w:r>
    </w:p>
    <w:p w:rsidR="00A54957" w:rsidRDefault="00BA4E86" w:rsidP="00310B5B">
      <w:pPr>
        <w:spacing w:line="360" w:lineRule="auto"/>
        <w:jc w:val="both"/>
        <w:rPr>
          <w:rFonts w:ascii="System" w:hAnsi="System" w:cs="System"/>
          <w:bCs/>
          <w:sz w:val="22"/>
          <w:szCs w:val="22"/>
        </w:rPr>
      </w:pPr>
      <w:r>
        <w:rPr>
          <w:rFonts w:asciiTheme="minorHAnsi" w:hAnsiTheme="minorHAnsi" w:cs="System"/>
          <w:bCs/>
          <w:sz w:val="22"/>
          <w:szCs w:val="22"/>
        </w:rPr>
        <w:t>-Geschäftsführer-</w:t>
      </w:r>
    </w:p>
    <w:sectPr w:rsidR="00A54957" w:rsidSect="005E0072">
      <w:headerReference w:type="default" r:id="rId10"/>
      <w:footerReference w:type="default" r:id="rId11"/>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DA" w:rsidRDefault="002B0ADA">
      <w:r>
        <w:separator/>
      </w:r>
    </w:p>
  </w:endnote>
  <w:endnote w:type="continuationSeparator" w:id="0">
    <w:p w:rsidR="002B0ADA" w:rsidRDefault="002B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D8" w:rsidRDefault="00FC07D8">
    <w:pPr>
      <w:pStyle w:val="Fuzeile"/>
    </w:pPr>
    <w:r>
      <w:t>Ermessenslenkende Weisungen Jobcenter Weißenburg-Gunzenhausen</w:t>
    </w:r>
    <w:r>
      <w:tab/>
      <w:t xml:space="preserve">          Seite </w:t>
    </w:r>
    <w:r w:rsidR="00B80C5A">
      <w:rPr>
        <w:rStyle w:val="Seitenzahl"/>
      </w:rPr>
      <w:fldChar w:fldCharType="begin"/>
    </w:r>
    <w:r>
      <w:rPr>
        <w:rStyle w:val="Seitenzahl"/>
      </w:rPr>
      <w:instrText xml:space="preserve"> PAGE </w:instrText>
    </w:r>
    <w:r w:rsidR="00B80C5A">
      <w:rPr>
        <w:rStyle w:val="Seitenzahl"/>
      </w:rPr>
      <w:fldChar w:fldCharType="separate"/>
    </w:r>
    <w:r w:rsidR="001827F1">
      <w:rPr>
        <w:rStyle w:val="Seitenzahl"/>
        <w:noProof/>
      </w:rPr>
      <w:t>4</w:t>
    </w:r>
    <w:r w:rsidR="00B80C5A">
      <w:rPr>
        <w:rStyle w:val="Seitenzahl"/>
      </w:rPr>
      <w:fldChar w:fldCharType="end"/>
    </w:r>
    <w:r>
      <w:rPr>
        <w:rStyle w:val="Seitenzahl"/>
      </w:rPr>
      <w:t xml:space="preserve"> von </w:t>
    </w:r>
    <w:r w:rsidR="00B80C5A">
      <w:rPr>
        <w:rStyle w:val="Seitenzahl"/>
      </w:rPr>
      <w:fldChar w:fldCharType="begin"/>
    </w:r>
    <w:r>
      <w:rPr>
        <w:rStyle w:val="Seitenzahl"/>
      </w:rPr>
      <w:instrText xml:space="preserve"> NUMPAGES </w:instrText>
    </w:r>
    <w:r w:rsidR="00B80C5A">
      <w:rPr>
        <w:rStyle w:val="Seitenzahl"/>
      </w:rPr>
      <w:fldChar w:fldCharType="separate"/>
    </w:r>
    <w:r w:rsidR="001827F1">
      <w:rPr>
        <w:rStyle w:val="Seitenzahl"/>
        <w:noProof/>
      </w:rPr>
      <w:t>4</w:t>
    </w:r>
    <w:r w:rsidR="00B80C5A">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DA" w:rsidRDefault="002B0ADA">
      <w:r>
        <w:separator/>
      </w:r>
    </w:p>
  </w:footnote>
  <w:footnote w:type="continuationSeparator" w:id="0">
    <w:p w:rsidR="002B0ADA" w:rsidRDefault="002B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D8" w:rsidRPr="0008330D" w:rsidRDefault="00FC07D8" w:rsidP="0008330D">
    <w:pPr>
      <w:pStyle w:val="Kopfzeile"/>
      <w:jc w:val="center"/>
      <w:rPr>
        <w:b/>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908"/>
    <w:multiLevelType w:val="hybridMultilevel"/>
    <w:tmpl w:val="B31242DA"/>
    <w:lvl w:ilvl="0" w:tplc="EDA0C2E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0B13FCE"/>
    <w:multiLevelType w:val="hybridMultilevel"/>
    <w:tmpl w:val="E2AA39B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B7C7D"/>
    <w:multiLevelType w:val="hybridMultilevel"/>
    <w:tmpl w:val="550C163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00EBB"/>
    <w:multiLevelType w:val="hybridMultilevel"/>
    <w:tmpl w:val="8BC0CD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A54F2"/>
    <w:multiLevelType w:val="hybridMultilevel"/>
    <w:tmpl w:val="37B80884"/>
    <w:lvl w:ilvl="0" w:tplc="0407000B">
      <w:start w:val="1"/>
      <w:numFmt w:val="bullet"/>
      <w:lvlText w:val=""/>
      <w:lvlJc w:val="left"/>
      <w:pPr>
        <w:tabs>
          <w:tab w:val="num" w:pos="540"/>
        </w:tabs>
        <w:ind w:left="54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E2201"/>
    <w:multiLevelType w:val="hybridMultilevel"/>
    <w:tmpl w:val="1A92CF2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7432A6"/>
    <w:multiLevelType w:val="hybridMultilevel"/>
    <w:tmpl w:val="DE24B832"/>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B">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6A51BD"/>
    <w:multiLevelType w:val="hybridMultilevel"/>
    <w:tmpl w:val="02C4512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267C5"/>
    <w:multiLevelType w:val="hybridMultilevel"/>
    <w:tmpl w:val="A0F8C3FA"/>
    <w:lvl w:ilvl="0" w:tplc="F29AB5A4">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8"/>
  </w:num>
  <w:num w:numId="5">
    <w:abstractNumId w:val="2"/>
  </w:num>
  <w:num w:numId="6">
    <w:abstractNumId w:val="5"/>
  </w:num>
  <w:num w:numId="7">
    <w:abstractNumId w:val="6"/>
  </w:num>
  <w:num w:numId="8">
    <w:abstractNumId w:val="0"/>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00"/>
    <w:rsid w:val="00007AF8"/>
    <w:rsid w:val="00016B74"/>
    <w:rsid w:val="0002750B"/>
    <w:rsid w:val="00031185"/>
    <w:rsid w:val="00043055"/>
    <w:rsid w:val="00045D00"/>
    <w:rsid w:val="0004712E"/>
    <w:rsid w:val="0005146F"/>
    <w:rsid w:val="000571FA"/>
    <w:rsid w:val="00065A5D"/>
    <w:rsid w:val="00070695"/>
    <w:rsid w:val="000713F7"/>
    <w:rsid w:val="00072530"/>
    <w:rsid w:val="00072B10"/>
    <w:rsid w:val="00077890"/>
    <w:rsid w:val="00080BAB"/>
    <w:rsid w:val="0008330D"/>
    <w:rsid w:val="0009188E"/>
    <w:rsid w:val="00093C22"/>
    <w:rsid w:val="00094384"/>
    <w:rsid w:val="000B509C"/>
    <w:rsid w:val="000C438C"/>
    <w:rsid w:val="000D03DA"/>
    <w:rsid w:val="000D12F8"/>
    <w:rsid w:val="000D41FA"/>
    <w:rsid w:val="000E36DB"/>
    <w:rsid w:val="000E3FAE"/>
    <w:rsid w:val="00102CE5"/>
    <w:rsid w:val="001031EF"/>
    <w:rsid w:val="00107C9F"/>
    <w:rsid w:val="00107F98"/>
    <w:rsid w:val="00113049"/>
    <w:rsid w:val="0012687A"/>
    <w:rsid w:val="0013213B"/>
    <w:rsid w:val="00140635"/>
    <w:rsid w:val="00152E2D"/>
    <w:rsid w:val="00157AA4"/>
    <w:rsid w:val="001827F1"/>
    <w:rsid w:val="00185528"/>
    <w:rsid w:val="00191B12"/>
    <w:rsid w:val="001B0CA8"/>
    <w:rsid w:val="001D1E6E"/>
    <w:rsid w:val="001D58CE"/>
    <w:rsid w:val="001D61E5"/>
    <w:rsid w:val="001D65FC"/>
    <w:rsid w:val="001E71D1"/>
    <w:rsid w:val="001F6D52"/>
    <w:rsid w:val="002037D6"/>
    <w:rsid w:val="00214807"/>
    <w:rsid w:val="00223F06"/>
    <w:rsid w:val="00225E4F"/>
    <w:rsid w:val="002379B9"/>
    <w:rsid w:val="0024083C"/>
    <w:rsid w:val="002503F2"/>
    <w:rsid w:val="00255530"/>
    <w:rsid w:val="00256C8B"/>
    <w:rsid w:val="0027406E"/>
    <w:rsid w:val="00293227"/>
    <w:rsid w:val="00297ABB"/>
    <w:rsid w:val="002A2354"/>
    <w:rsid w:val="002A6450"/>
    <w:rsid w:val="002A75AD"/>
    <w:rsid w:val="002B0ADA"/>
    <w:rsid w:val="002B270A"/>
    <w:rsid w:val="002C40DA"/>
    <w:rsid w:val="002C477F"/>
    <w:rsid w:val="002C4B06"/>
    <w:rsid w:val="002C4DD1"/>
    <w:rsid w:val="002D14F3"/>
    <w:rsid w:val="002D3BF6"/>
    <w:rsid w:val="002E473D"/>
    <w:rsid w:val="002F6E12"/>
    <w:rsid w:val="00310B5B"/>
    <w:rsid w:val="003113AA"/>
    <w:rsid w:val="0031387F"/>
    <w:rsid w:val="0032649B"/>
    <w:rsid w:val="003310A5"/>
    <w:rsid w:val="0033210A"/>
    <w:rsid w:val="003432CD"/>
    <w:rsid w:val="0034705A"/>
    <w:rsid w:val="00353617"/>
    <w:rsid w:val="00360866"/>
    <w:rsid w:val="00361800"/>
    <w:rsid w:val="00363450"/>
    <w:rsid w:val="00364A02"/>
    <w:rsid w:val="0036552D"/>
    <w:rsid w:val="0037044E"/>
    <w:rsid w:val="003710F5"/>
    <w:rsid w:val="00371BF4"/>
    <w:rsid w:val="00371CE2"/>
    <w:rsid w:val="00381724"/>
    <w:rsid w:val="0038183E"/>
    <w:rsid w:val="00385A77"/>
    <w:rsid w:val="0038651F"/>
    <w:rsid w:val="00392724"/>
    <w:rsid w:val="003938EC"/>
    <w:rsid w:val="003958B2"/>
    <w:rsid w:val="003A364C"/>
    <w:rsid w:val="003A42FE"/>
    <w:rsid w:val="003A64EC"/>
    <w:rsid w:val="003B39CC"/>
    <w:rsid w:val="003C05F2"/>
    <w:rsid w:val="003C0CA6"/>
    <w:rsid w:val="003C2D31"/>
    <w:rsid w:val="003C3154"/>
    <w:rsid w:val="003D3B25"/>
    <w:rsid w:val="003D3F0E"/>
    <w:rsid w:val="003E3C4E"/>
    <w:rsid w:val="003F158A"/>
    <w:rsid w:val="003F59E9"/>
    <w:rsid w:val="003F6258"/>
    <w:rsid w:val="00422E4F"/>
    <w:rsid w:val="00423EE7"/>
    <w:rsid w:val="00424987"/>
    <w:rsid w:val="00433732"/>
    <w:rsid w:val="004352D8"/>
    <w:rsid w:val="0044044F"/>
    <w:rsid w:val="004448AA"/>
    <w:rsid w:val="004450E3"/>
    <w:rsid w:val="0044587A"/>
    <w:rsid w:val="0045708D"/>
    <w:rsid w:val="00460C7E"/>
    <w:rsid w:val="00466BF0"/>
    <w:rsid w:val="00471249"/>
    <w:rsid w:val="0047631F"/>
    <w:rsid w:val="00476B1B"/>
    <w:rsid w:val="0047774E"/>
    <w:rsid w:val="0049173A"/>
    <w:rsid w:val="004A7804"/>
    <w:rsid w:val="004B5845"/>
    <w:rsid w:val="004B5AE2"/>
    <w:rsid w:val="004C6591"/>
    <w:rsid w:val="004C7BAB"/>
    <w:rsid w:val="004D2F8F"/>
    <w:rsid w:val="004D67DB"/>
    <w:rsid w:val="004D6BBB"/>
    <w:rsid w:val="004E5182"/>
    <w:rsid w:val="004E7818"/>
    <w:rsid w:val="004F734E"/>
    <w:rsid w:val="0050795A"/>
    <w:rsid w:val="00520B42"/>
    <w:rsid w:val="00522442"/>
    <w:rsid w:val="00523646"/>
    <w:rsid w:val="005303A4"/>
    <w:rsid w:val="00535BBB"/>
    <w:rsid w:val="00535C90"/>
    <w:rsid w:val="005414A8"/>
    <w:rsid w:val="005506F5"/>
    <w:rsid w:val="00550773"/>
    <w:rsid w:val="00553328"/>
    <w:rsid w:val="00553450"/>
    <w:rsid w:val="005573B4"/>
    <w:rsid w:val="005573D6"/>
    <w:rsid w:val="00560579"/>
    <w:rsid w:val="005908D7"/>
    <w:rsid w:val="005A4D27"/>
    <w:rsid w:val="005A52CB"/>
    <w:rsid w:val="005C0EED"/>
    <w:rsid w:val="005C1EAA"/>
    <w:rsid w:val="005D0890"/>
    <w:rsid w:val="005D3622"/>
    <w:rsid w:val="005D5A01"/>
    <w:rsid w:val="005D6A8E"/>
    <w:rsid w:val="005D7081"/>
    <w:rsid w:val="005E0072"/>
    <w:rsid w:val="005E0160"/>
    <w:rsid w:val="005E3350"/>
    <w:rsid w:val="00603E33"/>
    <w:rsid w:val="00604173"/>
    <w:rsid w:val="00605BD9"/>
    <w:rsid w:val="00611E95"/>
    <w:rsid w:val="0061213D"/>
    <w:rsid w:val="00617FD1"/>
    <w:rsid w:val="00621851"/>
    <w:rsid w:val="00631356"/>
    <w:rsid w:val="00635248"/>
    <w:rsid w:val="006360D5"/>
    <w:rsid w:val="00636396"/>
    <w:rsid w:val="00636448"/>
    <w:rsid w:val="00636501"/>
    <w:rsid w:val="0065064F"/>
    <w:rsid w:val="0066241A"/>
    <w:rsid w:val="006701CA"/>
    <w:rsid w:val="00670AB7"/>
    <w:rsid w:val="00672BC4"/>
    <w:rsid w:val="00681B01"/>
    <w:rsid w:val="006922A5"/>
    <w:rsid w:val="006B04CD"/>
    <w:rsid w:val="006B486A"/>
    <w:rsid w:val="006C2F21"/>
    <w:rsid w:val="006D32F6"/>
    <w:rsid w:val="006D6723"/>
    <w:rsid w:val="006E1BCC"/>
    <w:rsid w:val="006F036B"/>
    <w:rsid w:val="006F5A87"/>
    <w:rsid w:val="00702A50"/>
    <w:rsid w:val="00710D72"/>
    <w:rsid w:val="00723F66"/>
    <w:rsid w:val="00737915"/>
    <w:rsid w:val="007446D7"/>
    <w:rsid w:val="00744DD2"/>
    <w:rsid w:val="00745C4A"/>
    <w:rsid w:val="007609A8"/>
    <w:rsid w:val="007663FF"/>
    <w:rsid w:val="007668BC"/>
    <w:rsid w:val="00767378"/>
    <w:rsid w:val="00770B92"/>
    <w:rsid w:val="00771DC1"/>
    <w:rsid w:val="007976BE"/>
    <w:rsid w:val="007A4BC2"/>
    <w:rsid w:val="007B3432"/>
    <w:rsid w:val="007B6E7A"/>
    <w:rsid w:val="007C1A55"/>
    <w:rsid w:val="007C523C"/>
    <w:rsid w:val="007C5576"/>
    <w:rsid w:val="007D524D"/>
    <w:rsid w:val="007E2DF2"/>
    <w:rsid w:val="007F23C9"/>
    <w:rsid w:val="00805F84"/>
    <w:rsid w:val="00831897"/>
    <w:rsid w:val="0083583C"/>
    <w:rsid w:val="008361E6"/>
    <w:rsid w:val="00837A82"/>
    <w:rsid w:val="00846D5C"/>
    <w:rsid w:val="008503CD"/>
    <w:rsid w:val="00861F19"/>
    <w:rsid w:val="00863DD6"/>
    <w:rsid w:val="008653FF"/>
    <w:rsid w:val="00866EDC"/>
    <w:rsid w:val="00876E52"/>
    <w:rsid w:val="00895449"/>
    <w:rsid w:val="008B1344"/>
    <w:rsid w:val="008B36B1"/>
    <w:rsid w:val="008C4750"/>
    <w:rsid w:val="008C6F83"/>
    <w:rsid w:val="008D226B"/>
    <w:rsid w:val="008D2D29"/>
    <w:rsid w:val="008D5E84"/>
    <w:rsid w:val="008E7747"/>
    <w:rsid w:val="008F148D"/>
    <w:rsid w:val="008F3E87"/>
    <w:rsid w:val="00901B3C"/>
    <w:rsid w:val="009049F3"/>
    <w:rsid w:val="00906219"/>
    <w:rsid w:val="00910F8F"/>
    <w:rsid w:val="00912542"/>
    <w:rsid w:val="0092109B"/>
    <w:rsid w:val="00922978"/>
    <w:rsid w:val="00925DA6"/>
    <w:rsid w:val="00937BCA"/>
    <w:rsid w:val="009408F4"/>
    <w:rsid w:val="00946FC8"/>
    <w:rsid w:val="00956CBA"/>
    <w:rsid w:val="009652A9"/>
    <w:rsid w:val="00974949"/>
    <w:rsid w:val="009828F1"/>
    <w:rsid w:val="00983856"/>
    <w:rsid w:val="009A16E1"/>
    <w:rsid w:val="009A1C12"/>
    <w:rsid w:val="009A7FF7"/>
    <w:rsid w:val="009B32FF"/>
    <w:rsid w:val="009C19A9"/>
    <w:rsid w:val="009C3426"/>
    <w:rsid w:val="009C6924"/>
    <w:rsid w:val="009D170D"/>
    <w:rsid w:val="009D66EF"/>
    <w:rsid w:val="009D6906"/>
    <w:rsid w:val="009E302B"/>
    <w:rsid w:val="009E60A5"/>
    <w:rsid w:val="009E7E40"/>
    <w:rsid w:val="00A07779"/>
    <w:rsid w:val="00A24F83"/>
    <w:rsid w:val="00A37C62"/>
    <w:rsid w:val="00A41BD1"/>
    <w:rsid w:val="00A54957"/>
    <w:rsid w:val="00A6053C"/>
    <w:rsid w:val="00A65BB0"/>
    <w:rsid w:val="00A6649E"/>
    <w:rsid w:val="00A673B9"/>
    <w:rsid w:val="00A72118"/>
    <w:rsid w:val="00A738A2"/>
    <w:rsid w:val="00A83E1B"/>
    <w:rsid w:val="00A9023D"/>
    <w:rsid w:val="00A91C3D"/>
    <w:rsid w:val="00AA60E2"/>
    <w:rsid w:val="00AB741C"/>
    <w:rsid w:val="00AB7E2C"/>
    <w:rsid w:val="00AC3556"/>
    <w:rsid w:val="00AC7DF6"/>
    <w:rsid w:val="00AE6048"/>
    <w:rsid w:val="00AE796B"/>
    <w:rsid w:val="00AF1084"/>
    <w:rsid w:val="00B12CC2"/>
    <w:rsid w:val="00B1615A"/>
    <w:rsid w:val="00B503E0"/>
    <w:rsid w:val="00B54157"/>
    <w:rsid w:val="00B61672"/>
    <w:rsid w:val="00B6723B"/>
    <w:rsid w:val="00B675DA"/>
    <w:rsid w:val="00B74E43"/>
    <w:rsid w:val="00B80C5A"/>
    <w:rsid w:val="00BA39B0"/>
    <w:rsid w:val="00BA4E86"/>
    <w:rsid w:val="00BA7CD1"/>
    <w:rsid w:val="00BB0AAE"/>
    <w:rsid w:val="00BB483A"/>
    <w:rsid w:val="00BC2B5E"/>
    <w:rsid w:val="00BC6953"/>
    <w:rsid w:val="00BD6440"/>
    <w:rsid w:val="00BE2120"/>
    <w:rsid w:val="00BE58AA"/>
    <w:rsid w:val="00BE6A0B"/>
    <w:rsid w:val="00BE7847"/>
    <w:rsid w:val="00BF55F3"/>
    <w:rsid w:val="00C07E3F"/>
    <w:rsid w:val="00C107B6"/>
    <w:rsid w:val="00C275FD"/>
    <w:rsid w:val="00C34F7B"/>
    <w:rsid w:val="00C54BCF"/>
    <w:rsid w:val="00C54CAD"/>
    <w:rsid w:val="00C54D0F"/>
    <w:rsid w:val="00C54D60"/>
    <w:rsid w:val="00C64AC3"/>
    <w:rsid w:val="00C65D3D"/>
    <w:rsid w:val="00C71112"/>
    <w:rsid w:val="00C71489"/>
    <w:rsid w:val="00C723E5"/>
    <w:rsid w:val="00C77C07"/>
    <w:rsid w:val="00C84536"/>
    <w:rsid w:val="00C979FF"/>
    <w:rsid w:val="00CB3FB6"/>
    <w:rsid w:val="00CB7976"/>
    <w:rsid w:val="00CB7C2A"/>
    <w:rsid w:val="00CC66C2"/>
    <w:rsid w:val="00CD304D"/>
    <w:rsid w:val="00CD4C62"/>
    <w:rsid w:val="00CE6E59"/>
    <w:rsid w:val="00CF2FE5"/>
    <w:rsid w:val="00D130A8"/>
    <w:rsid w:val="00D13E9B"/>
    <w:rsid w:val="00D213E1"/>
    <w:rsid w:val="00D21B4F"/>
    <w:rsid w:val="00D30FAA"/>
    <w:rsid w:val="00D35A05"/>
    <w:rsid w:val="00D575E0"/>
    <w:rsid w:val="00D85390"/>
    <w:rsid w:val="00D9518B"/>
    <w:rsid w:val="00DA5664"/>
    <w:rsid w:val="00DB2E00"/>
    <w:rsid w:val="00DB7883"/>
    <w:rsid w:val="00DC0D08"/>
    <w:rsid w:val="00DC3103"/>
    <w:rsid w:val="00DD254F"/>
    <w:rsid w:val="00DE251D"/>
    <w:rsid w:val="00E11E89"/>
    <w:rsid w:val="00E208CB"/>
    <w:rsid w:val="00E218A2"/>
    <w:rsid w:val="00E2364B"/>
    <w:rsid w:val="00E24546"/>
    <w:rsid w:val="00E25348"/>
    <w:rsid w:val="00E30277"/>
    <w:rsid w:val="00E3539C"/>
    <w:rsid w:val="00E36BA6"/>
    <w:rsid w:val="00E4491F"/>
    <w:rsid w:val="00E46248"/>
    <w:rsid w:val="00E508F5"/>
    <w:rsid w:val="00E51C19"/>
    <w:rsid w:val="00E64115"/>
    <w:rsid w:val="00E6700D"/>
    <w:rsid w:val="00E70C2F"/>
    <w:rsid w:val="00E7103B"/>
    <w:rsid w:val="00E7471E"/>
    <w:rsid w:val="00E74843"/>
    <w:rsid w:val="00E75774"/>
    <w:rsid w:val="00E76D19"/>
    <w:rsid w:val="00E81568"/>
    <w:rsid w:val="00E8248C"/>
    <w:rsid w:val="00E83DCA"/>
    <w:rsid w:val="00E867AC"/>
    <w:rsid w:val="00E92F0F"/>
    <w:rsid w:val="00EA6E55"/>
    <w:rsid w:val="00EB0528"/>
    <w:rsid w:val="00EB05DE"/>
    <w:rsid w:val="00EC0FBA"/>
    <w:rsid w:val="00EC472E"/>
    <w:rsid w:val="00ED13E7"/>
    <w:rsid w:val="00EE079A"/>
    <w:rsid w:val="00EE14C5"/>
    <w:rsid w:val="00EE1C82"/>
    <w:rsid w:val="00EE2FF9"/>
    <w:rsid w:val="00EE5E4D"/>
    <w:rsid w:val="00EF2C24"/>
    <w:rsid w:val="00F05E80"/>
    <w:rsid w:val="00F13EA9"/>
    <w:rsid w:val="00F15A52"/>
    <w:rsid w:val="00F40B32"/>
    <w:rsid w:val="00F553B5"/>
    <w:rsid w:val="00F57C34"/>
    <w:rsid w:val="00F60F6B"/>
    <w:rsid w:val="00F642EB"/>
    <w:rsid w:val="00F836F6"/>
    <w:rsid w:val="00FA06A6"/>
    <w:rsid w:val="00FA7545"/>
    <w:rsid w:val="00FA7748"/>
    <w:rsid w:val="00FC0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3D9B7-2745-481C-AD98-C6214D6E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5F8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ldname1">
    <w:name w:val="feldname1"/>
    <w:basedOn w:val="Absatz-Standardschriftart"/>
    <w:rsid w:val="005303A4"/>
    <w:rPr>
      <w:rFonts w:ascii="Arial" w:hAnsi="Arial" w:cs="Arial" w:hint="default"/>
      <w:b/>
      <w:bCs/>
      <w:i w:val="0"/>
      <w:iCs w:val="0"/>
      <w:sz w:val="24"/>
      <w:szCs w:val="24"/>
    </w:rPr>
  </w:style>
  <w:style w:type="paragraph" w:styleId="Kopfzeile">
    <w:name w:val="header"/>
    <w:basedOn w:val="Standard"/>
    <w:rsid w:val="008503CD"/>
    <w:pPr>
      <w:tabs>
        <w:tab w:val="center" w:pos="4536"/>
        <w:tab w:val="right" w:pos="9072"/>
      </w:tabs>
    </w:pPr>
  </w:style>
  <w:style w:type="paragraph" w:styleId="Fuzeile">
    <w:name w:val="footer"/>
    <w:basedOn w:val="Standard"/>
    <w:rsid w:val="008503CD"/>
    <w:pPr>
      <w:tabs>
        <w:tab w:val="center" w:pos="4536"/>
        <w:tab w:val="right" w:pos="9072"/>
      </w:tabs>
    </w:pPr>
  </w:style>
  <w:style w:type="character" w:styleId="Seitenzahl">
    <w:name w:val="page number"/>
    <w:basedOn w:val="Absatz-Standardschriftart"/>
    <w:rsid w:val="008503CD"/>
  </w:style>
  <w:style w:type="paragraph" w:styleId="Sprechblasentext">
    <w:name w:val="Balloon Text"/>
    <w:basedOn w:val="Standard"/>
    <w:semiHidden/>
    <w:rsid w:val="00EE5E4D"/>
    <w:rPr>
      <w:rFonts w:ascii="Tahoma" w:hAnsi="Tahoma" w:cs="Tahoma"/>
      <w:sz w:val="16"/>
      <w:szCs w:val="16"/>
    </w:rPr>
  </w:style>
  <w:style w:type="character" w:styleId="Hyperlink">
    <w:name w:val="Hyperlink"/>
    <w:basedOn w:val="Absatz-Standardschriftart"/>
    <w:rsid w:val="00080BAB"/>
    <w:rPr>
      <w:color w:val="0000FF"/>
      <w:u w:val="single"/>
    </w:rPr>
  </w:style>
  <w:style w:type="character" w:styleId="BesuchterHyperlink">
    <w:name w:val="FollowedHyperlink"/>
    <w:basedOn w:val="Absatz-Standardschriftart"/>
    <w:rsid w:val="005506F5"/>
    <w:rPr>
      <w:color w:val="800080"/>
      <w:u w:val="single"/>
    </w:rPr>
  </w:style>
  <w:style w:type="paragraph" w:customStyle="1" w:styleId="Default">
    <w:name w:val="Default"/>
    <w:rsid w:val="00094384"/>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unhideWhenUsed/>
    <w:rsid w:val="002379B9"/>
    <w:pPr>
      <w:ind w:left="720"/>
      <w:contextualSpacing/>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623">
      <w:bodyDiv w:val="1"/>
      <w:marLeft w:val="0"/>
      <w:marRight w:val="0"/>
      <w:marTop w:val="0"/>
      <w:marBottom w:val="0"/>
      <w:divBdr>
        <w:top w:val="none" w:sz="0" w:space="0" w:color="auto"/>
        <w:left w:val="none" w:sz="0" w:space="0" w:color="auto"/>
        <w:bottom w:val="none" w:sz="0" w:space="0" w:color="auto"/>
        <w:right w:val="none" w:sz="0" w:space="0" w:color="auto"/>
      </w:divBdr>
    </w:div>
    <w:div w:id="324558246">
      <w:bodyDiv w:val="1"/>
      <w:marLeft w:val="0"/>
      <w:marRight w:val="0"/>
      <w:marTop w:val="0"/>
      <w:marBottom w:val="0"/>
      <w:divBdr>
        <w:top w:val="none" w:sz="0" w:space="0" w:color="auto"/>
        <w:left w:val="none" w:sz="0" w:space="0" w:color="auto"/>
        <w:bottom w:val="none" w:sz="0" w:space="0" w:color="auto"/>
        <w:right w:val="none" w:sz="0" w:space="0" w:color="auto"/>
      </w:divBdr>
    </w:div>
    <w:div w:id="532114653">
      <w:bodyDiv w:val="1"/>
      <w:marLeft w:val="0"/>
      <w:marRight w:val="0"/>
      <w:marTop w:val="0"/>
      <w:marBottom w:val="0"/>
      <w:divBdr>
        <w:top w:val="none" w:sz="0" w:space="0" w:color="auto"/>
        <w:left w:val="none" w:sz="0" w:space="0" w:color="auto"/>
        <w:bottom w:val="none" w:sz="0" w:space="0" w:color="auto"/>
        <w:right w:val="none" w:sz="0" w:space="0" w:color="auto"/>
      </w:divBdr>
    </w:div>
    <w:div w:id="674650092">
      <w:bodyDiv w:val="1"/>
      <w:marLeft w:val="0"/>
      <w:marRight w:val="0"/>
      <w:marTop w:val="0"/>
      <w:marBottom w:val="0"/>
      <w:divBdr>
        <w:top w:val="none" w:sz="0" w:space="0" w:color="auto"/>
        <w:left w:val="none" w:sz="0" w:space="0" w:color="auto"/>
        <w:bottom w:val="none" w:sz="0" w:space="0" w:color="auto"/>
        <w:right w:val="none" w:sz="0" w:space="0" w:color="auto"/>
      </w:divBdr>
    </w:div>
    <w:div w:id="18100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intranet.de/002/004/002/001/Documents/GA-EGZ-2014-12.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59CC-B9B8-4902-AC51-55725B53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5751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Vermerk</vt:lpstr>
    </vt:vector>
  </TitlesOfParts>
  <Company>Bundesagentur für Arbeit</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creator>Mögen Martin</dc:creator>
  <cp:lastModifiedBy>Burgschneider Bernd</cp:lastModifiedBy>
  <cp:revision>3</cp:revision>
  <cp:lastPrinted>2015-01-14T09:07:00Z</cp:lastPrinted>
  <dcterms:created xsi:type="dcterms:W3CDTF">2016-11-14T06:43:00Z</dcterms:created>
  <dcterms:modified xsi:type="dcterms:W3CDTF">2016-11-14T06:45:00Z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path">
    <vt:lpwstr>H:\Vorlagen\Normal.dot</vt:lpwstr>
  </property>
</Properties>
</file>