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6" w:type="dxa"/>
        <w:jc w:val="center"/>
        <w:tblBorders>
          <w:insideV w:val="single" w:sz="36" w:space="0" w:color="FFFFFF"/>
        </w:tblBorders>
        <w:tblLayout w:type="fixed"/>
        <w:tblLook w:val="01E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D95B2C" w:rsidRDefault="00806942">
            <w:pPr>
              <w:spacing w:before="567" w:after="284"/>
              <w:ind w:left="567"/>
              <w:rPr>
                <w:color w:val="FFFFFF"/>
                <w:sz w:val="46"/>
                <w:szCs w:val="46"/>
              </w:rPr>
            </w:pPr>
            <w:r>
              <w:rPr>
                <w:color w:val="FFFFFF"/>
                <w:sz w:val="46"/>
                <w:szCs w:val="46"/>
              </w:rPr>
              <w:t>Fachkonzept</w:t>
            </w:r>
            <w:r w:rsidR="00D95B2C">
              <w:rPr>
                <w:color w:val="FFFFFF"/>
                <w:sz w:val="46"/>
                <w:szCs w:val="46"/>
              </w:rPr>
              <w:t xml:space="preserve"> </w:t>
            </w:r>
            <w:bookmarkStart w:id="0" w:name="txtTischoderBericht"/>
          </w:p>
          <w:p w:rsidR="00D95B2C" w:rsidRDefault="00806942">
            <w:pPr>
              <w:spacing w:before="567" w:after="284"/>
              <w:ind w:left="567"/>
              <w:rPr>
                <w:color w:val="FFFFFF"/>
                <w:sz w:val="28"/>
                <w:szCs w:val="28"/>
                <w:highlight w:val="darkGreen"/>
              </w:rPr>
            </w:pPr>
            <w:r>
              <w:rPr>
                <w:color w:val="FFFFFF"/>
                <w:sz w:val="28"/>
                <w:szCs w:val="28"/>
              </w:rPr>
              <w:t>Beschäftigungsorientiertes Fallmanagement</w:t>
            </w:r>
            <w:bookmarkEnd w:id="0"/>
          </w:p>
          <w:p w:rsidR="00D95B2C" w:rsidRDefault="00D95B2C">
            <w:pPr>
              <w:rPr>
                <w:sz w:val="28"/>
                <w:szCs w:val="28"/>
                <w:highlight w:val="darkGreen"/>
              </w:rPr>
            </w:pPr>
          </w:p>
          <w:p w:rsidR="00D95B2C" w:rsidRDefault="00D95B2C">
            <w:pPr>
              <w:rPr>
                <w:sz w:val="28"/>
                <w:szCs w:val="28"/>
                <w:highlight w:val="darkGreen"/>
              </w:rPr>
            </w:pPr>
          </w:p>
        </w:tc>
        <w:bookmarkStart w:id="1"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 w:rsidRPr="00B93D58">
              <w:object w:dxaOrig="5204" w:dyaOrig="5249">
                <v:shape id="_x0000_i1025" type="#_x0000_t75" style="width:123pt;height:124.5pt" o:ole="">
                  <v:imagedata r:id="rId7" o:title=""/>
                </v:shape>
                <o:OLEObject Type="Embed" ProgID="MSPhotoEd.3" ShapeID="_x0000_i1025" DrawAspect="Content" ObjectID="_1393739789" r:id="rId8"/>
              </w:object>
            </w:r>
            <w:bookmarkEnd w:id="1"/>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806942" w:rsidP="00806942">
            <w:pPr>
              <w:pStyle w:val="Vers-weiss"/>
              <w:ind w:left="0"/>
              <w:rPr>
                <w:highlight w:val="darkGreen"/>
              </w:rPr>
            </w:pPr>
            <w:bookmarkStart w:id="2" w:name="txtDatGz"/>
            <w:r>
              <w:t>01.07.201</w:t>
            </w:r>
            <w:bookmarkEnd w:id="2"/>
            <w:r>
              <w:t>0</w:t>
            </w:r>
          </w:p>
        </w:tc>
        <w:tc>
          <w:tcPr>
            <w:tcW w:w="2470" w:type="dxa"/>
            <w:tcBorders>
              <w:top w:val="nil"/>
              <w:left w:val="single" w:sz="24" w:space="0" w:color="FFFFFF"/>
              <w:bottom w:val="nil"/>
              <w:right w:val="nil"/>
            </w:tcBorders>
            <w:shd w:val="clear" w:color="auto" w:fill="008A50"/>
            <w:vAlign w:val="center"/>
            <w:hideMark/>
          </w:tcPr>
          <w:p w:rsidR="00D95B2C" w:rsidRDefault="00D95B2C">
            <w:pPr>
              <w:pStyle w:val="Vers-weiss"/>
            </w:pPr>
            <w:bookmarkStart w:id="3" w:name="txtIntExt"/>
            <w:r>
              <w:t>INTERN</w:t>
            </w:r>
            <w:bookmarkEnd w:id="3"/>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C56D91" w:rsidP="00C56D91">
            <w:pPr>
              <w:pStyle w:val="Vers-weiss"/>
              <w:ind w:left="0"/>
            </w:pP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806942" w:rsidP="00806942">
            <w:pPr>
              <w:pStyle w:val="Vers-weiss"/>
              <w:ind w:left="0"/>
            </w:pPr>
            <w:r>
              <w:t>aktualisiert 01.03.2012</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Pr="00C56D91" w:rsidRDefault="00C56D91">
            <w:r>
              <w:rPr>
                <w:noProof/>
                <w:sz w:val="22"/>
              </w:rPr>
              <w:drawing>
                <wp:inline distT="0" distB="0" distL="0" distR="0">
                  <wp:extent cx="6534150" cy="5810250"/>
                  <wp:effectExtent l="19050" t="0" r="0" b="0"/>
                  <wp:docPr id="1" name="Grafik 0" descr="JC_O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C_OSL.JPG"/>
                          <pic:cNvPicPr/>
                        </pic:nvPicPr>
                        <pic:blipFill>
                          <a:blip r:embed="rId9" cstate="print"/>
                          <a:stretch>
                            <a:fillRect/>
                          </a:stretch>
                        </pic:blipFill>
                        <pic:spPr>
                          <a:xfrm>
                            <a:off x="0" y="0"/>
                            <a:ext cx="6534150" cy="5810250"/>
                          </a:xfrm>
                          <a:prstGeom prst="rect">
                            <a:avLst/>
                          </a:prstGeom>
                        </pic:spPr>
                      </pic:pic>
                    </a:graphicData>
                  </a:graphic>
                </wp:inline>
              </w:drawing>
            </w:r>
          </w:p>
          <w:p w:rsidR="00D95B2C" w:rsidRPr="00C56D91" w:rsidRDefault="00D95B2C"/>
          <w:p w:rsidR="00D95B2C" w:rsidRPr="00C56D91" w:rsidRDefault="00E156FE" w:rsidP="00C56D91">
            <w:r w:rsidRPr="00E156FE">
              <w:rPr>
                <w:noProof/>
                <w:sz w:val="22"/>
              </w:rPr>
              <w:pict>
                <v:rect id="_x0000_s1026" style="position:absolute;margin-left:128.4pt;margin-top:7.35pt;width:386.25pt;height:7.15pt;z-index:251658240" fillcolor="#008a50" strokecolor="#008a50"/>
              </w:pict>
            </w:r>
            <w:r w:rsidR="00D95B2C" w:rsidRPr="00C56D91">
              <w:rPr>
                <w:noProof/>
                <w:sz w:val="22"/>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0"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5F6EBB" w:rsidRDefault="005F6EBB" w:rsidP="00472DDE">
      <w:pPr>
        <w:pStyle w:val="Listenabsatz"/>
        <w:ind w:left="0"/>
        <w:contextualSpacing w:val="0"/>
      </w:pPr>
    </w:p>
    <w:p w:rsidR="00806942" w:rsidRDefault="00806942" w:rsidP="00806942">
      <w:pPr>
        <w:rPr>
          <w:b/>
          <w:i/>
          <w:sz w:val="28"/>
          <w:szCs w:val="28"/>
          <w:u w:val="single"/>
        </w:rPr>
      </w:pPr>
    </w:p>
    <w:p w:rsidR="00806942" w:rsidRDefault="00806942" w:rsidP="00806942">
      <w:pPr>
        <w:rPr>
          <w:b/>
          <w:i/>
          <w:sz w:val="28"/>
          <w:szCs w:val="28"/>
          <w:u w:val="single"/>
        </w:rPr>
      </w:pPr>
    </w:p>
    <w:p w:rsidR="00806942" w:rsidRPr="00D26446" w:rsidRDefault="00806942" w:rsidP="00806942">
      <w:pPr>
        <w:rPr>
          <w:rFonts w:cs="Arial"/>
          <w:b/>
          <w:i/>
          <w:color w:val="339966"/>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5"/>
        <w:gridCol w:w="6083"/>
      </w:tblGrid>
      <w:tr w:rsidR="00806942" w:rsidRPr="00D26446" w:rsidTr="0043371C">
        <w:tc>
          <w:tcPr>
            <w:tcW w:w="0" w:type="auto"/>
          </w:tcPr>
          <w:p w:rsidR="00806942" w:rsidRPr="00D26446" w:rsidRDefault="00806942" w:rsidP="0043371C">
            <w:pPr>
              <w:rPr>
                <w:rFonts w:cs="Arial"/>
                <w:b/>
              </w:rPr>
            </w:pPr>
            <w:r w:rsidRPr="00D26446">
              <w:rPr>
                <w:rFonts w:cs="Arial"/>
                <w:b/>
              </w:rPr>
              <w:t>Grundlage für eine</w:t>
            </w:r>
          </w:p>
          <w:p w:rsidR="00806942" w:rsidRPr="00D26446" w:rsidRDefault="00806942" w:rsidP="0043371C">
            <w:pPr>
              <w:rPr>
                <w:rFonts w:cs="Arial"/>
                <w:b/>
              </w:rPr>
            </w:pPr>
            <w:r w:rsidRPr="00D26446">
              <w:rPr>
                <w:rFonts w:cs="Arial"/>
                <w:b/>
              </w:rPr>
              <w:t>einheitliche Umsetzung</w:t>
            </w:r>
          </w:p>
        </w:tc>
        <w:tc>
          <w:tcPr>
            <w:tcW w:w="0" w:type="auto"/>
          </w:tcPr>
          <w:p w:rsidR="00806942" w:rsidRPr="00A4049C" w:rsidRDefault="00806942" w:rsidP="0043371C">
            <w:pPr>
              <w:rPr>
                <w:rFonts w:cs="Arial"/>
              </w:rPr>
            </w:pPr>
            <w:r w:rsidRPr="00A4049C">
              <w:rPr>
                <w:rFonts w:cs="Arial"/>
              </w:rPr>
              <w:t>Das vorliegende Fachkonzept zum beschäftigungsorientierten Fallmanagement bildet eine einheitliche und verbindliche Arbeitsgrundlage im Jobcenter Oberspreewald</w:t>
            </w:r>
            <w:r w:rsidR="00A4049C">
              <w:rPr>
                <w:rFonts w:cs="Arial"/>
              </w:rPr>
              <w:t>-</w:t>
            </w:r>
            <w:r w:rsidRPr="00A4049C">
              <w:rPr>
                <w:rFonts w:cs="Arial"/>
              </w:rPr>
              <w:t>Lausitz</w:t>
            </w:r>
            <w:r w:rsidR="00A4049C">
              <w:rPr>
                <w:rFonts w:cs="Arial"/>
              </w:rPr>
              <w:t xml:space="preserve"> (</w:t>
            </w:r>
            <w:proofErr w:type="spellStart"/>
            <w:r w:rsidR="00A4049C">
              <w:rPr>
                <w:rFonts w:cs="Arial"/>
              </w:rPr>
              <w:t>J</w:t>
            </w:r>
            <w:r w:rsidR="0083614D">
              <w:rPr>
                <w:rFonts w:cs="Arial"/>
              </w:rPr>
              <w:t>c</w:t>
            </w:r>
            <w:proofErr w:type="spellEnd"/>
            <w:r w:rsidR="00A4049C">
              <w:rPr>
                <w:rFonts w:cs="Arial"/>
              </w:rPr>
              <w:t xml:space="preserve"> OSL)</w:t>
            </w:r>
            <w:r w:rsidRPr="00A4049C">
              <w:rPr>
                <w:rFonts w:cs="Arial"/>
              </w:rPr>
              <w:t>.</w:t>
            </w:r>
          </w:p>
          <w:p w:rsidR="00806942" w:rsidRPr="00A4049C" w:rsidRDefault="00806942" w:rsidP="0043371C">
            <w:pPr>
              <w:rPr>
                <w:rFonts w:cs="Arial"/>
              </w:rPr>
            </w:pPr>
          </w:p>
          <w:p w:rsidR="00806942" w:rsidRPr="00A4049C" w:rsidRDefault="00806942" w:rsidP="0043371C">
            <w:pPr>
              <w:rPr>
                <w:rFonts w:cs="Arial"/>
                <w:u w:color="000000" w:themeColor="text1"/>
              </w:rPr>
            </w:pPr>
            <w:r w:rsidRPr="00A4049C">
              <w:rPr>
                <w:rFonts w:cs="Arial"/>
                <w:u w:color="000000" w:themeColor="text1"/>
              </w:rPr>
              <w:t>Arbeitsgrundlage für alle Fallmanager ist die VerBIS</w:t>
            </w:r>
          </w:p>
          <w:p w:rsidR="00806942" w:rsidRPr="00A4049C" w:rsidRDefault="00806942" w:rsidP="0043371C">
            <w:pPr>
              <w:rPr>
                <w:rFonts w:cs="Arial"/>
                <w:u w:color="000000" w:themeColor="text1"/>
              </w:rPr>
            </w:pPr>
            <w:r w:rsidRPr="00A4049C">
              <w:rPr>
                <w:rFonts w:cs="Arial"/>
                <w:u w:color="000000" w:themeColor="text1"/>
              </w:rPr>
              <w:t>Arbeitshilfe:</w:t>
            </w:r>
          </w:p>
          <w:p w:rsidR="00806942" w:rsidRPr="00A4049C" w:rsidRDefault="00806942" w:rsidP="0043371C">
            <w:pPr>
              <w:rPr>
                <w:rFonts w:cs="Arial"/>
                <w:u w:color="000000" w:themeColor="text1"/>
              </w:rPr>
            </w:pPr>
          </w:p>
          <w:p w:rsidR="00806942" w:rsidRPr="00A4049C" w:rsidRDefault="00E156FE" w:rsidP="0043371C">
            <w:pPr>
              <w:rPr>
                <w:rFonts w:cs="Arial"/>
                <w:u w:color="000000" w:themeColor="text1"/>
              </w:rPr>
            </w:pPr>
            <w:r>
              <w:fldChar w:fldCharType="begin"/>
            </w:r>
            <w:r>
              <w:instrText>HYPERLINK "http://www.baintern.de/nn_551462/zentraler-Content/A-03-Berufliche-Beratung/A-033-Beratung-von-Erwerbspersonen/Dokument/VerBIS-Fallmanagement-Unterlage,view=nav.html"</w:instrText>
            </w:r>
            <w:r>
              <w:fldChar w:fldCharType="separate"/>
            </w:r>
            <w:r w:rsidR="00806942" w:rsidRPr="00A4049C">
              <w:rPr>
                <w:rStyle w:val="Hyperlink"/>
                <w:rFonts w:eastAsiaTheme="majorEastAsia" w:cs="Arial"/>
                <w:color w:val="auto"/>
                <w:u w:color="000000" w:themeColor="text1"/>
              </w:rPr>
              <w:t>http://www.baintern.de/nn_551462/zentraler-Content/A-03-Berufliche-Beratung/A-033-Beratung-von-Erwerbspersonen/Dokument/VerBIS-Fallmanagement-Unterlage,view=nav.html</w:t>
            </w:r>
            <w:r>
              <w:fldChar w:fldCharType="end"/>
            </w:r>
          </w:p>
          <w:p w:rsidR="00806942" w:rsidRPr="00A4049C" w:rsidRDefault="00806942" w:rsidP="0043371C">
            <w:pPr>
              <w:rPr>
                <w:rFonts w:cs="Arial"/>
                <w:u w:color="000000" w:themeColor="text1"/>
              </w:rPr>
            </w:pPr>
          </w:p>
          <w:p w:rsidR="00806942" w:rsidRPr="00A4049C" w:rsidRDefault="00806942" w:rsidP="0043371C">
            <w:pPr>
              <w:rPr>
                <w:rFonts w:cs="Arial"/>
              </w:rPr>
            </w:pPr>
            <w:r w:rsidRPr="00A4049C">
              <w:rPr>
                <w:rFonts w:cs="Arial"/>
              </w:rPr>
              <w:t>Die Vorgaben der „Geschäftsanweisung 01/2010 – Fallmanagement in der Grundsicherung vom 13.01.10“ der Bundesagentur für Arbeit wurden berücksichtigt.</w:t>
            </w:r>
          </w:p>
          <w:p w:rsidR="00806942" w:rsidRPr="00A4049C" w:rsidRDefault="00806942" w:rsidP="0043371C">
            <w:pPr>
              <w:rPr>
                <w:rFonts w:cs="Arial"/>
              </w:rPr>
            </w:pPr>
            <w:r w:rsidRPr="00A4049C">
              <w:rPr>
                <w:rFonts w:cs="Arial"/>
              </w:rPr>
              <w:t>Diese GA gilt bis zum 31.12.2012.</w:t>
            </w:r>
          </w:p>
          <w:p w:rsidR="00806942" w:rsidRPr="008F3FAF" w:rsidRDefault="00806942" w:rsidP="0043371C">
            <w:pPr>
              <w:rPr>
                <w:rFonts w:cs="Arial"/>
                <w:color w:val="0000FF"/>
                <w:u w:color="FF0000"/>
              </w:rPr>
            </w:pPr>
          </w:p>
          <w:p w:rsidR="00806942" w:rsidRPr="00D26446" w:rsidRDefault="00806942" w:rsidP="0043371C">
            <w:pPr>
              <w:rPr>
                <w:rFonts w:cs="Arial"/>
              </w:rPr>
            </w:pPr>
          </w:p>
        </w:tc>
      </w:tr>
      <w:tr w:rsidR="00806942" w:rsidRPr="00D26446" w:rsidTr="0043371C">
        <w:tc>
          <w:tcPr>
            <w:tcW w:w="0" w:type="auto"/>
          </w:tcPr>
          <w:p w:rsidR="00806942" w:rsidRPr="00D26446" w:rsidRDefault="00806942" w:rsidP="0043371C">
            <w:pPr>
              <w:rPr>
                <w:rFonts w:cs="Arial"/>
                <w:b/>
              </w:rPr>
            </w:pPr>
            <w:r w:rsidRPr="00D26446">
              <w:rPr>
                <w:rFonts w:cs="Arial"/>
                <w:b/>
              </w:rPr>
              <w:t>Analyse</w:t>
            </w:r>
          </w:p>
        </w:tc>
        <w:tc>
          <w:tcPr>
            <w:tcW w:w="0" w:type="auto"/>
          </w:tcPr>
          <w:p w:rsidR="00937F4D" w:rsidRDefault="00806942" w:rsidP="0043371C">
            <w:pPr>
              <w:rPr>
                <w:rFonts w:cs="Arial"/>
              </w:rPr>
            </w:pPr>
            <w:r w:rsidRPr="00A4049C">
              <w:rPr>
                <w:rFonts w:cs="Arial"/>
              </w:rPr>
              <w:t>Struktur der erwerbsfähigen Leistungsberechtigten:</w:t>
            </w:r>
          </w:p>
          <w:p w:rsidR="00806942" w:rsidRPr="00A4049C" w:rsidRDefault="00806942" w:rsidP="0043371C">
            <w:pPr>
              <w:rPr>
                <w:rFonts w:cs="Arial"/>
              </w:rPr>
            </w:pPr>
            <w:r w:rsidRPr="00A4049C">
              <w:rPr>
                <w:rFonts w:cs="Arial"/>
              </w:rPr>
              <w:t>Im Fallmanagement werden Hilfeempfänger und ggfs. die Mitglieder der Bedarfsgemeinschaften aus den Bereichen U und Ü 25 betreut, die eine komplexe Profillage aufweisen.</w:t>
            </w:r>
          </w:p>
          <w:p w:rsidR="00806942" w:rsidRPr="00A4049C" w:rsidRDefault="00806942" w:rsidP="0043371C">
            <w:pPr>
              <w:rPr>
                <w:rFonts w:cs="Arial"/>
              </w:rPr>
            </w:pPr>
          </w:p>
          <w:p w:rsidR="00806942" w:rsidRPr="00A4049C" w:rsidRDefault="00806942" w:rsidP="0043371C">
            <w:pPr>
              <w:rPr>
                <w:rFonts w:cs="Arial"/>
              </w:rPr>
            </w:pPr>
            <w:r w:rsidRPr="00A4049C">
              <w:rPr>
                <w:rFonts w:cs="Arial"/>
              </w:rPr>
              <w:t>Die sozialintegrativen Leistungen stellen einen wesentlichen Teil des Handlungsrepertoires des Fallmanagements dar.</w:t>
            </w:r>
          </w:p>
          <w:p w:rsidR="00806942" w:rsidRPr="00A4049C" w:rsidRDefault="00806942" w:rsidP="0043371C">
            <w:pPr>
              <w:rPr>
                <w:rFonts w:cs="Arial"/>
              </w:rPr>
            </w:pPr>
            <w:r w:rsidRPr="00A4049C">
              <w:rPr>
                <w:rFonts w:cs="Arial"/>
              </w:rPr>
              <w:t>An allen 3 Standorten des Jobcenters Oberspreewald</w:t>
            </w:r>
            <w:r w:rsidR="00A4049C">
              <w:rPr>
                <w:rFonts w:cs="Arial"/>
              </w:rPr>
              <w:t>-</w:t>
            </w:r>
            <w:r w:rsidRPr="00A4049C">
              <w:rPr>
                <w:rFonts w:cs="Arial"/>
              </w:rPr>
              <w:t xml:space="preserve"> Lausitz existiert ein gut funktionierendes Netzwerk und unter Berücksichtigung der Bestimmungen des §16a SGB II besteht eine enge Zusammenarbeit mit folgenden Partnern:</w:t>
            </w:r>
          </w:p>
          <w:p w:rsidR="00806942" w:rsidRPr="00A4049C" w:rsidRDefault="00806942" w:rsidP="0043371C">
            <w:pPr>
              <w:rPr>
                <w:rFonts w:cs="Arial"/>
              </w:rPr>
            </w:pPr>
            <w:r w:rsidRPr="00A4049C">
              <w:rPr>
                <w:rFonts w:cs="Arial"/>
              </w:rPr>
              <w:t>- Schuldnerberatung</w:t>
            </w:r>
          </w:p>
          <w:p w:rsidR="00806942" w:rsidRPr="00A4049C" w:rsidRDefault="00806942" w:rsidP="0043371C">
            <w:pPr>
              <w:rPr>
                <w:rFonts w:cs="Arial"/>
              </w:rPr>
            </w:pPr>
            <w:r w:rsidRPr="00A4049C">
              <w:rPr>
                <w:rFonts w:cs="Arial"/>
              </w:rPr>
              <w:t>- Suchtberatung</w:t>
            </w:r>
          </w:p>
          <w:p w:rsidR="00806942" w:rsidRPr="00A4049C" w:rsidRDefault="00806942" w:rsidP="0043371C">
            <w:pPr>
              <w:rPr>
                <w:rFonts w:cs="Arial"/>
              </w:rPr>
            </w:pPr>
            <w:r w:rsidRPr="00A4049C">
              <w:rPr>
                <w:rFonts w:cs="Arial"/>
              </w:rPr>
              <w:t>- psychosoziale Betreuung</w:t>
            </w:r>
          </w:p>
          <w:p w:rsidR="00806942" w:rsidRPr="00A4049C" w:rsidRDefault="00806942" w:rsidP="0043371C">
            <w:pPr>
              <w:rPr>
                <w:rFonts w:cs="Arial"/>
              </w:rPr>
            </w:pPr>
            <w:r w:rsidRPr="00A4049C">
              <w:rPr>
                <w:rFonts w:cs="Arial"/>
              </w:rPr>
              <w:t>- Jugendamt.</w:t>
            </w:r>
          </w:p>
          <w:p w:rsidR="00806942" w:rsidRPr="00A4049C" w:rsidRDefault="00806942" w:rsidP="0043371C">
            <w:pPr>
              <w:rPr>
                <w:rFonts w:cs="Arial"/>
              </w:rPr>
            </w:pPr>
          </w:p>
          <w:p w:rsidR="00806942" w:rsidRPr="00D26446" w:rsidRDefault="00806942" w:rsidP="0043371C">
            <w:pPr>
              <w:rPr>
                <w:rFonts w:cs="Arial"/>
              </w:rPr>
            </w:pPr>
            <w:r w:rsidRPr="00D26446">
              <w:rPr>
                <w:rFonts w:cs="Arial"/>
              </w:rPr>
              <w:t>Des Weiteren arbeiten alle Fallmanager eng mit den sozialen Diensten der Justiz zusammen.</w:t>
            </w:r>
          </w:p>
          <w:p w:rsidR="00806942" w:rsidRPr="00D26446" w:rsidRDefault="00806942" w:rsidP="0043371C">
            <w:pPr>
              <w:rPr>
                <w:rFonts w:cs="Arial"/>
              </w:rPr>
            </w:pPr>
          </w:p>
          <w:p w:rsidR="00806942" w:rsidRPr="00A4049C" w:rsidRDefault="00806942" w:rsidP="0043371C">
            <w:pPr>
              <w:rPr>
                <w:rFonts w:cs="Arial"/>
              </w:rPr>
            </w:pPr>
            <w:r w:rsidRPr="00A4049C">
              <w:rPr>
                <w:rFonts w:cs="Arial"/>
              </w:rPr>
              <w:t xml:space="preserve">Diese Partner unterstützen, begleiten und ergänzen die Arbeit der Fallmanager. </w:t>
            </w:r>
          </w:p>
          <w:p w:rsidR="00806942" w:rsidRPr="00A4049C" w:rsidRDefault="00806942" w:rsidP="0043371C">
            <w:pPr>
              <w:rPr>
                <w:rFonts w:cs="Arial"/>
              </w:rPr>
            </w:pPr>
          </w:p>
          <w:p w:rsidR="00806942" w:rsidRPr="00A4049C" w:rsidRDefault="00806942" w:rsidP="0043371C">
            <w:pPr>
              <w:rPr>
                <w:rFonts w:cs="Arial"/>
              </w:rPr>
            </w:pPr>
            <w:r w:rsidRPr="00A4049C">
              <w:rPr>
                <w:rFonts w:cs="Arial"/>
              </w:rPr>
              <w:t>Die speziellen Bedürfnisse der  erwerbsfähigen Leistungsberechtigten, die im Rahmen des Fallmanagement betreut werden, finden auch Berücksichtigung im Arbeits</w:t>
            </w:r>
            <w:r w:rsidR="001631BF">
              <w:rPr>
                <w:rFonts w:cs="Arial"/>
              </w:rPr>
              <w:t>markt</w:t>
            </w:r>
            <w:r w:rsidRPr="00A4049C">
              <w:rPr>
                <w:rFonts w:cs="Arial"/>
              </w:rPr>
              <w:t>- und</w:t>
            </w:r>
            <w:r>
              <w:rPr>
                <w:rFonts w:cs="Arial"/>
                <w:color w:val="0000FF"/>
              </w:rPr>
              <w:t xml:space="preserve"> </w:t>
            </w:r>
            <w:r w:rsidRPr="00A4049C">
              <w:rPr>
                <w:rFonts w:cs="Arial"/>
              </w:rPr>
              <w:lastRenderedPageBreak/>
              <w:t xml:space="preserve">Integrationsprogramm  des </w:t>
            </w:r>
            <w:proofErr w:type="spellStart"/>
            <w:r w:rsidRPr="00A4049C">
              <w:rPr>
                <w:rFonts w:cs="Arial"/>
              </w:rPr>
              <w:t>J</w:t>
            </w:r>
            <w:r w:rsidR="0083614D">
              <w:rPr>
                <w:rFonts w:cs="Arial"/>
              </w:rPr>
              <w:t>c</w:t>
            </w:r>
            <w:proofErr w:type="spellEnd"/>
            <w:r w:rsidRPr="00A4049C">
              <w:rPr>
                <w:rFonts w:cs="Arial"/>
              </w:rPr>
              <w:t xml:space="preserve"> OSL.</w:t>
            </w:r>
          </w:p>
          <w:p w:rsidR="00806942" w:rsidRPr="00D26446" w:rsidRDefault="00806942" w:rsidP="0043371C">
            <w:pPr>
              <w:rPr>
                <w:rFonts w:cs="Arial"/>
              </w:rPr>
            </w:pPr>
          </w:p>
        </w:tc>
      </w:tr>
      <w:tr w:rsidR="00806942" w:rsidRPr="00D26446" w:rsidTr="0043371C">
        <w:tc>
          <w:tcPr>
            <w:tcW w:w="0" w:type="auto"/>
          </w:tcPr>
          <w:p w:rsidR="00806942" w:rsidRPr="00D26446" w:rsidRDefault="00806942" w:rsidP="0043371C">
            <w:pPr>
              <w:rPr>
                <w:rFonts w:cs="Arial"/>
                <w:b/>
              </w:rPr>
            </w:pPr>
            <w:r w:rsidRPr="00D26446">
              <w:rPr>
                <w:rFonts w:cs="Arial"/>
                <w:b/>
              </w:rPr>
              <w:lastRenderedPageBreak/>
              <w:t>Ziele</w:t>
            </w:r>
          </w:p>
        </w:tc>
        <w:tc>
          <w:tcPr>
            <w:tcW w:w="0" w:type="auto"/>
          </w:tcPr>
          <w:p w:rsidR="00806942" w:rsidRPr="007625F3" w:rsidRDefault="00806942" w:rsidP="0043371C">
            <w:pPr>
              <w:rPr>
                <w:rFonts w:cs="Arial"/>
              </w:rPr>
            </w:pPr>
            <w:r w:rsidRPr="007625F3">
              <w:rPr>
                <w:rFonts w:cs="Arial"/>
              </w:rPr>
              <w:t>Fallmanagement soll den erwerbsfähigen Leistungsberechtigten befähigen seine individuellen Vermittlungshemmnisse abzubauen, damit diese der Aufnahme einer Erwerbstätigkeit nicht mehr im Wege stehen.</w:t>
            </w:r>
          </w:p>
          <w:p w:rsidR="00806942" w:rsidRPr="007625F3" w:rsidRDefault="00806942" w:rsidP="0043371C">
            <w:pPr>
              <w:rPr>
                <w:rFonts w:cs="Arial"/>
              </w:rPr>
            </w:pPr>
          </w:p>
          <w:p w:rsidR="00806942" w:rsidRPr="007625F3" w:rsidRDefault="00806942" w:rsidP="0043371C">
            <w:pPr>
              <w:rPr>
                <w:rFonts w:cs="Arial"/>
              </w:rPr>
            </w:pPr>
            <w:r w:rsidRPr="007625F3">
              <w:rPr>
                <w:rFonts w:cs="Arial"/>
              </w:rPr>
              <w:t>Daraus leiten sich folgende Leitziele ab:</w:t>
            </w:r>
          </w:p>
          <w:p w:rsidR="00806942" w:rsidRPr="007625F3" w:rsidRDefault="00806942" w:rsidP="00806942">
            <w:pPr>
              <w:numPr>
                <w:ilvl w:val="0"/>
                <w:numId w:val="32"/>
              </w:numPr>
              <w:rPr>
                <w:rFonts w:cs="Arial"/>
              </w:rPr>
            </w:pPr>
            <w:r w:rsidRPr="007625F3">
              <w:rPr>
                <w:rFonts w:cs="Arial"/>
              </w:rPr>
              <w:t>Stabilisierung und Verbesserung der individuellen Lebenslage</w:t>
            </w:r>
          </w:p>
          <w:p w:rsidR="00806942" w:rsidRPr="007625F3" w:rsidRDefault="00806942" w:rsidP="00806942">
            <w:pPr>
              <w:numPr>
                <w:ilvl w:val="0"/>
                <w:numId w:val="32"/>
              </w:numPr>
              <w:rPr>
                <w:rFonts w:cs="Arial"/>
              </w:rPr>
            </w:pPr>
            <w:r w:rsidRPr="007625F3">
              <w:rPr>
                <w:rFonts w:cs="Arial"/>
              </w:rPr>
              <w:t>Aktivierung</w:t>
            </w:r>
          </w:p>
          <w:p w:rsidR="00806942" w:rsidRPr="007625F3" w:rsidRDefault="00806942" w:rsidP="00806942">
            <w:pPr>
              <w:numPr>
                <w:ilvl w:val="0"/>
                <w:numId w:val="32"/>
              </w:numPr>
              <w:rPr>
                <w:rFonts w:cs="Arial"/>
              </w:rPr>
            </w:pPr>
            <w:r w:rsidRPr="007625F3">
              <w:rPr>
                <w:rFonts w:cs="Arial"/>
              </w:rPr>
              <w:t>Nachhaltige Integration</w:t>
            </w:r>
          </w:p>
          <w:p w:rsidR="00806942" w:rsidRPr="007625F3" w:rsidRDefault="00806942" w:rsidP="0043371C">
            <w:pPr>
              <w:rPr>
                <w:rFonts w:cs="Arial"/>
              </w:rPr>
            </w:pPr>
          </w:p>
          <w:p w:rsidR="00806942" w:rsidRPr="007625F3" w:rsidRDefault="00806942" w:rsidP="0043371C">
            <w:pPr>
              <w:rPr>
                <w:rFonts w:cs="Arial"/>
              </w:rPr>
            </w:pPr>
            <w:r w:rsidRPr="007625F3">
              <w:rPr>
                <w:rFonts w:cs="Arial"/>
              </w:rPr>
              <w:t>Grundsätzlich ist eine Übergabe ins Fallmanagement zu prüfen, wenn:</w:t>
            </w:r>
          </w:p>
          <w:p w:rsidR="00806942" w:rsidRPr="007625F3" w:rsidRDefault="00A4049C" w:rsidP="00806942">
            <w:pPr>
              <w:numPr>
                <w:ilvl w:val="0"/>
                <w:numId w:val="34"/>
              </w:numPr>
              <w:rPr>
                <w:rFonts w:cs="Arial"/>
              </w:rPr>
            </w:pPr>
            <w:r w:rsidRPr="007625F3">
              <w:rPr>
                <w:rFonts w:cs="Arial"/>
              </w:rPr>
              <w:t>e</w:t>
            </w:r>
            <w:r w:rsidR="00806942" w:rsidRPr="007625F3">
              <w:rPr>
                <w:rFonts w:cs="Arial"/>
              </w:rPr>
              <w:t xml:space="preserve">in erwerbsfähiger Leistungsberechtigter keine ausreichenden Fähigkeiten besitzt, seine Hilfebedürftigkeit vollständig oder teilweise aus eigener Kraft zu beenden </w:t>
            </w:r>
          </w:p>
          <w:p w:rsidR="00806942" w:rsidRPr="00D26446" w:rsidRDefault="00806942" w:rsidP="0043371C">
            <w:pPr>
              <w:ind w:left="360"/>
              <w:rPr>
                <w:rFonts w:cs="Arial"/>
              </w:rPr>
            </w:pPr>
            <w:r w:rsidRPr="00D26446">
              <w:rPr>
                <w:rFonts w:cs="Arial"/>
              </w:rPr>
              <w:t>und</w:t>
            </w:r>
          </w:p>
          <w:p w:rsidR="00806942" w:rsidRPr="00D26446" w:rsidRDefault="00A4049C" w:rsidP="00806942">
            <w:pPr>
              <w:numPr>
                <w:ilvl w:val="0"/>
                <w:numId w:val="34"/>
              </w:numPr>
              <w:rPr>
                <w:rFonts w:cs="Arial"/>
              </w:rPr>
            </w:pPr>
            <w:r>
              <w:rPr>
                <w:rFonts w:cs="Arial"/>
              </w:rPr>
              <w:t>d</w:t>
            </w:r>
            <w:r w:rsidR="00806942" w:rsidRPr="00D26446">
              <w:rPr>
                <w:rFonts w:cs="Arial"/>
              </w:rPr>
              <w:t>ie Gründe hierfür in seiner Person liegen oder in den Mitgliedern seiner Bedarfsgemeinschaft zu suchen sind.</w:t>
            </w:r>
          </w:p>
          <w:p w:rsidR="00806942" w:rsidRPr="00D26446" w:rsidRDefault="00806942" w:rsidP="0043371C">
            <w:pPr>
              <w:rPr>
                <w:rFonts w:cs="Arial"/>
              </w:rPr>
            </w:pPr>
            <w:r w:rsidRPr="00D26446">
              <w:rPr>
                <w:rFonts w:cs="Arial"/>
              </w:rPr>
              <w:t>Die Prüfung dieser Voraussetzungen hat durch den ANoAV stetig zu erfolgen und ist in VerBIS zu dokumentieren und zu begründen.</w:t>
            </w:r>
          </w:p>
          <w:p w:rsidR="00806942" w:rsidRPr="00D26446" w:rsidRDefault="00806942" w:rsidP="0043371C">
            <w:pPr>
              <w:rPr>
                <w:rFonts w:cs="Arial"/>
              </w:rPr>
            </w:pPr>
          </w:p>
          <w:p w:rsidR="00806942" w:rsidRPr="00D26446" w:rsidRDefault="00806942" w:rsidP="0043371C">
            <w:pPr>
              <w:rPr>
                <w:rFonts w:cs="Arial"/>
              </w:rPr>
            </w:pPr>
            <w:r w:rsidRPr="00D26446">
              <w:rPr>
                <w:rFonts w:cs="Arial"/>
              </w:rPr>
              <w:t>Für den Zugang zum Fallmanagement sind folgende Kriterien verbindlich:</w:t>
            </w:r>
          </w:p>
          <w:p w:rsidR="00806942" w:rsidRPr="00D26446" w:rsidRDefault="00806942" w:rsidP="00806942">
            <w:pPr>
              <w:numPr>
                <w:ilvl w:val="0"/>
                <w:numId w:val="33"/>
              </w:numPr>
              <w:rPr>
                <w:rFonts w:cs="Arial"/>
              </w:rPr>
            </w:pPr>
            <w:r w:rsidRPr="00D26446">
              <w:rPr>
                <w:rFonts w:cs="Arial"/>
              </w:rPr>
              <w:t>Komplexe Profillagen (Entwicklungsprofil, Stabilisierungsprofil oder Unterstützungsprofil) mit mindestens 3 Handlungsbedarfen in den Schlüsselgruppen „Rahmenbedingungen“ und/oder „Leistungsfähigkeit“</w:t>
            </w:r>
          </w:p>
          <w:p w:rsidR="00806942" w:rsidRPr="00D26446" w:rsidRDefault="00806942" w:rsidP="0043371C">
            <w:pPr>
              <w:ind w:left="360"/>
              <w:rPr>
                <w:rFonts w:cs="Arial"/>
              </w:rPr>
            </w:pPr>
            <w:r w:rsidRPr="00D26446">
              <w:rPr>
                <w:rFonts w:cs="Arial"/>
              </w:rPr>
              <w:t>und</w:t>
            </w:r>
          </w:p>
          <w:p w:rsidR="00806942" w:rsidRDefault="00806942" w:rsidP="00806942">
            <w:pPr>
              <w:numPr>
                <w:ilvl w:val="0"/>
                <w:numId w:val="33"/>
              </w:numPr>
              <w:rPr>
                <w:rFonts w:cs="Arial"/>
              </w:rPr>
            </w:pPr>
            <w:r w:rsidRPr="00D26446">
              <w:rPr>
                <w:rFonts w:cs="Arial"/>
              </w:rPr>
              <w:t>Einschätzung, dass die Betreuung im Fallmanagement zu konkreten Integrationsfortschritten mit dem Ziel der mittel- bis langfristigen Beseitigung bzw. Verringerung des Hilfebedarfs durch Integration in Beschäftigung führt</w:t>
            </w:r>
          </w:p>
          <w:p w:rsidR="00A4049C" w:rsidRDefault="00A4049C" w:rsidP="00A4049C">
            <w:pPr>
              <w:rPr>
                <w:rFonts w:cs="Arial"/>
              </w:rPr>
            </w:pPr>
          </w:p>
          <w:p w:rsidR="00A4049C" w:rsidRPr="00B930FF" w:rsidRDefault="007625F3" w:rsidP="00A4049C">
            <w:pPr>
              <w:rPr>
                <w:rFonts w:cs="Arial"/>
              </w:rPr>
            </w:pPr>
            <w:r w:rsidRPr="00B930FF">
              <w:rPr>
                <w:rFonts w:cs="Arial"/>
              </w:rPr>
              <w:t>Berufsausbildung in außerbetrieblichen Einrichtungen (BaE):</w:t>
            </w:r>
          </w:p>
          <w:p w:rsidR="007625F3" w:rsidRPr="00B930FF" w:rsidRDefault="007625F3" w:rsidP="00A4049C">
            <w:pPr>
              <w:rPr>
                <w:rFonts w:cs="Arial"/>
              </w:rPr>
            </w:pPr>
            <w:r w:rsidRPr="00B930FF">
              <w:rPr>
                <w:rFonts w:cs="Arial"/>
              </w:rPr>
              <w:t xml:space="preserve">Kunden die für einen Berufsausbildung in BaE vorgesehen werden, sind an das Fallmanagement abzugeben. Die gesamte Betreuung und das Absolventenmanagement obliegen der dafür zuständigen Fallmanagerin. </w:t>
            </w:r>
          </w:p>
          <w:p w:rsidR="00806942" w:rsidRPr="00D26446" w:rsidRDefault="00806942" w:rsidP="0043371C">
            <w:pPr>
              <w:rPr>
                <w:rFonts w:cs="Arial"/>
              </w:rPr>
            </w:pPr>
          </w:p>
        </w:tc>
      </w:tr>
      <w:tr w:rsidR="00806942" w:rsidRPr="00D26446" w:rsidTr="0043371C">
        <w:tc>
          <w:tcPr>
            <w:tcW w:w="0" w:type="auto"/>
          </w:tcPr>
          <w:p w:rsidR="00806942" w:rsidRDefault="00806942" w:rsidP="0043371C">
            <w:pPr>
              <w:rPr>
                <w:rFonts w:cs="Arial"/>
                <w:b/>
              </w:rPr>
            </w:pPr>
          </w:p>
          <w:p w:rsidR="00806942" w:rsidRPr="00D26446" w:rsidRDefault="00806942" w:rsidP="0043371C">
            <w:pPr>
              <w:rPr>
                <w:rFonts w:cs="Arial"/>
                <w:b/>
              </w:rPr>
            </w:pPr>
            <w:r w:rsidRPr="00D26446">
              <w:rPr>
                <w:rFonts w:cs="Arial"/>
                <w:b/>
              </w:rPr>
              <w:t>Methodik</w:t>
            </w:r>
          </w:p>
          <w:p w:rsidR="00806942" w:rsidRPr="00D26446" w:rsidRDefault="00806942" w:rsidP="0043371C">
            <w:pPr>
              <w:rPr>
                <w:rFonts w:cs="Arial"/>
              </w:rPr>
            </w:pPr>
            <w:r w:rsidRPr="00D26446">
              <w:rPr>
                <w:rFonts w:cs="Arial"/>
              </w:rPr>
              <w:t>Umsetzung Fallzugang</w:t>
            </w: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r w:rsidRPr="00D26446">
              <w:rPr>
                <w:rFonts w:cs="Arial"/>
              </w:rPr>
              <w:t>Fallzugang</w:t>
            </w:r>
          </w:p>
          <w:p w:rsidR="00806942" w:rsidRPr="00D26446" w:rsidRDefault="00806942" w:rsidP="0043371C">
            <w:pPr>
              <w:rPr>
                <w:rFonts w:cs="Arial"/>
              </w:rPr>
            </w:pPr>
          </w:p>
          <w:p w:rsidR="00806942"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r w:rsidRPr="00D26446">
              <w:rPr>
                <w:rFonts w:cs="Arial"/>
              </w:rPr>
              <w:t>Assessment</w:t>
            </w:r>
          </w:p>
          <w:p w:rsidR="00806942" w:rsidRPr="00D26446" w:rsidRDefault="00806942" w:rsidP="0043371C">
            <w:pPr>
              <w:rPr>
                <w:rFonts w:cs="Arial"/>
              </w:rPr>
            </w:pPr>
          </w:p>
          <w:p w:rsidR="00806942" w:rsidRPr="00D26446"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r w:rsidRPr="00D26446">
              <w:rPr>
                <w:rFonts w:cs="Arial"/>
              </w:rPr>
              <w:t>Integrationsplanung</w:t>
            </w: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r w:rsidRPr="00D26446">
              <w:rPr>
                <w:rFonts w:cs="Arial"/>
              </w:rPr>
              <w:t>Eingliederungsvereinbarung</w:t>
            </w: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r>
              <w:rPr>
                <w:rFonts w:cs="Arial"/>
              </w:rPr>
              <w:t>L</w:t>
            </w:r>
            <w:r w:rsidRPr="00D26446">
              <w:rPr>
                <w:rFonts w:cs="Arial"/>
              </w:rPr>
              <w:t>eistungssteuerung</w:t>
            </w: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Pr="00D26446"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Default="00806942" w:rsidP="0043371C">
            <w:pPr>
              <w:rPr>
                <w:rFonts w:cs="Arial"/>
              </w:rPr>
            </w:pPr>
          </w:p>
          <w:p w:rsidR="00806942" w:rsidRPr="00D26446" w:rsidRDefault="00806942" w:rsidP="0043371C">
            <w:pPr>
              <w:rPr>
                <w:rFonts w:cs="Arial"/>
              </w:rPr>
            </w:pPr>
            <w:r>
              <w:rPr>
                <w:rFonts w:cs="Arial"/>
              </w:rPr>
              <w:t>Fallabgang</w:t>
            </w:r>
          </w:p>
        </w:tc>
        <w:tc>
          <w:tcPr>
            <w:tcW w:w="0" w:type="auto"/>
          </w:tcPr>
          <w:p w:rsidR="00806942" w:rsidRDefault="00806942" w:rsidP="0043371C">
            <w:pPr>
              <w:rPr>
                <w:rFonts w:cs="Arial"/>
              </w:rPr>
            </w:pPr>
          </w:p>
          <w:p w:rsidR="00806942" w:rsidRPr="00D26446" w:rsidRDefault="00806942" w:rsidP="0043371C">
            <w:pPr>
              <w:rPr>
                <w:rFonts w:cs="Arial"/>
              </w:rPr>
            </w:pPr>
            <w:r w:rsidRPr="00D26446">
              <w:rPr>
                <w:rFonts w:cs="Arial"/>
              </w:rPr>
              <w:t>Noch vor der Fallübergabe erfolgt eine geeignete Vorinformation vom ANoAV an den Hilfeempfänger, in der die beabsichtigte Fallübergabe dargestellt wird. Der ANoAV stellt gegenüber dem Hilfeempfänger dar, warum eine Übergabe ins Fallmanagement angedacht und sinnvoll ist.</w:t>
            </w:r>
          </w:p>
          <w:p w:rsidR="00806942" w:rsidRDefault="00806942" w:rsidP="0043371C">
            <w:pPr>
              <w:rPr>
                <w:rFonts w:cs="Arial"/>
              </w:rPr>
            </w:pPr>
          </w:p>
          <w:p w:rsidR="00806942" w:rsidRPr="007625F3" w:rsidRDefault="00806942" w:rsidP="0043371C">
            <w:pPr>
              <w:rPr>
                <w:rFonts w:cs="Arial"/>
              </w:rPr>
            </w:pPr>
            <w:r w:rsidRPr="007625F3">
              <w:rPr>
                <w:rFonts w:cs="Arial"/>
              </w:rPr>
              <w:t>Das weitere Vorgehen ist dem erwerbsfähigen Leistungsberechtigten gegenüber transparent zu gestalten.</w:t>
            </w:r>
          </w:p>
          <w:p w:rsidR="00806942" w:rsidRPr="007625F3" w:rsidRDefault="00806942" w:rsidP="0043371C">
            <w:pPr>
              <w:rPr>
                <w:rFonts w:cs="Arial"/>
              </w:rPr>
            </w:pPr>
          </w:p>
          <w:p w:rsidR="00806942" w:rsidRPr="007625F3" w:rsidRDefault="00806942" w:rsidP="0043371C">
            <w:pPr>
              <w:rPr>
                <w:rFonts w:cs="Arial"/>
              </w:rPr>
            </w:pPr>
            <w:r w:rsidRPr="007625F3">
              <w:rPr>
                <w:rFonts w:cs="Arial"/>
              </w:rPr>
              <w:t>Bevor der Fallmanager entscheidet, ob er den Fall übernimmt, führt er ein Vorgespräch  mit dem ANoAV.</w:t>
            </w:r>
          </w:p>
          <w:p w:rsidR="00806942" w:rsidRPr="007625F3" w:rsidRDefault="00806942" w:rsidP="0043371C">
            <w:pPr>
              <w:rPr>
                <w:rFonts w:cs="Arial"/>
              </w:rPr>
            </w:pPr>
          </w:p>
          <w:p w:rsidR="00806942" w:rsidRPr="007625F3" w:rsidRDefault="00806942" w:rsidP="0043371C">
            <w:pPr>
              <w:rPr>
                <w:rFonts w:cs="Arial"/>
              </w:rPr>
            </w:pPr>
            <w:r w:rsidRPr="007625F3">
              <w:rPr>
                <w:rFonts w:cs="Arial"/>
              </w:rPr>
              <w:t>Ist die Übergabe ins Fallmanagement entschieden, findet in der Regel ein Gespräch zwischen ANoAV, Fallmanager und erwerbsfähigen Leistungsberechtigten statt,  in dem der bisherige Sachstand dargestellt wird. Hieraus ergeben sich die Anknüpfungspunkte für das Fallmanagement.</w:t>
            </w:r>
          </w:p>
          <w:p w:rsidR="00806942" w:rsidRPr="007625F3" w:rsidRDefault="00806942" w:rsidP="0043371C">
            <w:pPr>
              <w:rPr>
                <w:rFonts w:cs="Arial"/>
              </w:rPr>
            </w:pPr>
            <w:r w:rsidRPr="007625F3">
              <w:rPr>
                <w:rFonts w:cs="Arial"/>
              </w:rPr>
              <w:t>Der erwerbsfähige Leistungsberechtigte erklärt seine Bereitschaft im Fallmanagement mitzuwirken.</w:t>
            </w:r>
          </w:p>
          <w:p w:rsidR="00806942" w:rsidRPr="007625F3" w:rsidRDefault="00806942" w:rsidP="0043371C">
            <w:pPr>
              <w:rPr>
                <w:rFonts w:cs="Arial"/>
                <w:i/>
              </w:rPr>
            </w:pPr>
          </w:p>
          <w:p w:rsidR="00806942" w:rsidRPr="007625F3" w:rsidRDefault="00806942" w:rsidP="0043371C">
            <w:pPr>
              <w:rPr>
                <w:rFonts w:cs="Arial"/>
              </w:rPr>
            </w:pPr>
            <w:r w:rsidRPr="007625F3">
              <w:rPr>
                <w:rFonts w:cs="Arial"/>
              </w:rPr>
              <w:t>Der Fallzugang ist entsprechend der VerBIS- Arbeitshilfe vorzunehmen und im Fachverfahren VerBIS zu dokumentieren.</w:t>
            </w:r>
          </w:p>
          <w:p w:rsidR="00806942" w:rsidRPr="007625F3" w:rsidRDefault="00806942" w:rsidP="0043371C">
            <w:pPr>
              <w:rPr>
                <w:rFonts w:cs="Arial"/>
              </w:rPr>
            </w:pPr>
          </w:p>
          <w:p w:rsidR="00806942" w:rsidRPr="00D26446" w:rsidRDefault="00806942" w:rsidP="0043371C">
            <w:pPr>
              <w:rPr>
                <w:rFonts w:cs="Arial"/>
              </w:rPr>
            </w:pPr>
          </w:p>
          <w:p w:rsidR="00806942" w:rsidRPr="007625F3" w:rsidRDefault="00806942" w:rsidP="0043371C">
            <w:pPr>
              <w:rPr>
                <w:rFonts w:cs="Arial"/>
              </w:rPr>
            </w:pPr>
            <w:r w:rsidRPr="007625F3">
              <w:rPr>
                <w:rFonts w:cs="Arial"/>
              </w:rPr>
              <w:t>Die behandelten Bereiche und die hierfür erforderlichen Fragen müssen sich aus der Fallkonstellation legitimieren lassen;  hierfür sind die Erfordernisse des Datenschutzes zu beachten.</w:t>
            </w:r>
          </w:p>
          <w:p w:rsidR="00806942" w:rsidRPr="007625F3" w:rsidRDefault="00806942" w:rsidP="0043371C">
            <w:pPr>
              <w:rPr>
                <w:rFonts w:cs="Arial"/>
              </w:rPr>
            </w:pPr>
          </w:p>
          <w:p w:rsidR="00806942" w:rsidRPr="007625F3" w:rsidRDefault="00806942" w:rsidP="0043371C">
            <w:pPr>
              <w:rPr>
                <w:rFonts w:cs="Arial"/>
              </w:rPr>
            </w:pPr>
            <w:r w:rsidRPr="007625F3">
              <w:rPr>
                <w:rFonts w:cs="Arial"/>
              </w:rPr>
              <w:t>Das Assessment ist entsprechend der VerBIS- Arbeitshilfe vorzunehmen und im Fachverfahren VerBIS zu dokumentieren.</w:t>
            </w:r>
          </w:p>
          <w:p w:rsidR="00806942" w:rsidRPr="007625F3" w:rsidRDefault="00806942" w:rsidP="0043371C">
            <w:pPr>
              <w:rPr>
                <w:rFonts w:cs="Arial"/>
              </w:rPr>
            </w:pPr>
          </w:p>
          <w:p w:rsidR="00806942" w:rsidRPr="007625F3" w:rsidRDefault="00806942" w:rsidP="0043371C">
            <w:pPr>
              <w:rPr>
                <w:rFonts w:cs="Arial"/>
              </w:rPr>
            </w:pPr>
          </w:p>
          <w:p w:rsidR="00806942" w:rsidRPr="007625F3" w:rsidRDefault="00806942" w:rsidP="0043371C">
            <w:pPr>
              <w:rPr>
                <w:rFonts w:cs="Arial"/>
              </w:rPr>
            </w:pPr>
            <w:r w:rsidRPr="007625F3">
              <w:rPr>
                <w:rFonts w:cs="Arial"/>
              </w:rPr>
              <w:t>Die Integrationsplanung setzt die im Assessment gewonnenen Erkenntnisse in konkrete Planungen um und formuliert klare Ziele.</w:t>
            </w:r>
          </w:p>
          <w:p w:rsidR="00806942" w:rsidRPr="007625F3" w:rsidRDefault="00806942" w:rsidP="0043371C">
            <w:pPr>
              <w:rPr>
                <w:rFonts w:cs="Arial"/>
              </w:rPr>
            </w:pPr>
          </w:p>
          <w:p w:rsidR="00806942" w:rsidRPr="007625F3" w:rsidRDefault="00806942" w:rsidP="0043371C">
            <w:pPr>
              <w:rPr>
                <w:rFonts w:cs="Arial"/>
              </w:rPr>
            </w:pPr>
            <w:r w:rsidRPr="007625F3">
              <w:rPr>
                <w:rFonts w:cs="Arial"/>
              </w:rPr>
              <w:t>Die Integrationsplanung muss für den erwerbsfähigen Leistungsberechtigten nachvollziehbar sein. Sie muss sich aufbauend gestalten und ist den jeweiligen Entwicklungen anzupassen.</w:t>
            </w:r>
          </w:p>
          <w:p w:rsidR="00806942" w:rsidRPr="007625F3" w:rsidRDefault="00806942" w:rsidP="0043371C">
            <w:pPr>
              <w:rPr>
                <w:rFonts w:cs="Arial"/>
              </w:rPr>
            </w:pPr>
            <w:r w:rsidRPr="007625F3">
              <w:rPr>
                <w:rFonts w:cs="Arial"/>
              </w:rPr>
              <w:t>Die einzelnen Schritte müssen für den  erwerbsfähigen Leistungsberechtigten realistisch und auch tatsächlich erreichbar sein.</w:t>
            </w:r>
          </w:p>
          <w:p w:rsidR="00806942" w:rsidRPr="007625F3" w:rsidRDefault="00806942" w:rsidP="0043371C">
            <w:pPr>
              <w:rPr>
                <w:rFonts w:cs="Arial"/>
              </w:rPr>
            </w:pPr>
            <w:r w:rsidRPr="007625F3">
              <w:rPr>
                <w:rFonts w:cs="Arial"/>
              </w:rPr>
              <w:lastRenderedPageBreak/>
              <w:t>Die jeweiligen Zielvereinbarungen werden über das Wiedervorlagensystem überwacht.</w:t>
            </w:r>
          </w:p>
          <w:p w:rsidR="00806942" w:rsidRPr="007625F3" w:rsidRDefault="00806942" w:rsidP="0043371C">
            <w:pPr>
              <w:rPr>
                <w:rFonts w:cs="Arial"/>
              </w:rPr>
            </w:pPr>
          </w:p>
          <w:p w:rsidR="00806942" w:rsidRPr="007625F3" w:rsidRDefault="00806942" w:rsidP="0043371C">
            <w:pPr>
              <w:rPr>
                <w:rFonts w:cs="Arial"/>
              </w:rPr>
            </w:pPr>
            <w:r w:rsidRPr="007625F3">
              <w:rPr>
                <w:rFonts w:cs="Arial"/>
              </w:rPr>
              <w:t>Die entsprechende Funktionalität in VerBIS – Fallmanagement Integrationsplanung –  ist verbindlich zu nutzen.</w:t>
            </w:r>
          </w:p>
          <w:p w:rsidR="00806942" w:rsidRPr="007625F3" w:rsidRDefault="00806942" w:rsidP="0043371C">
            <w:pPr>
              <w:rPr>
                <w:rFonts w:cs="Arial"/>
              </w:rPr>
            </w:pPr>
          </w:p>
          <w:p w:rsidR="00806942" w:rsidRPr="007625F3" w:rsidRDefault="00806942" w:rsidP="0043371C">
            <w:pPr>
              <w:rPr>
                <w:rFonts w:cs="Arial"/>
              </w:rPr>
            </w:pPr>
          </w:p>
          <w:p w:rsidR="00806942" w:rsidRPr="007625F3" w:rsidRDefault="00806942" w:rsidP="0043371C">
            <w:pPr>
              <w:rPr>
                <w:rFonts w:cs="Arial"/>
              </w:rPr>
            </w:pPr>
            <w:r w:rsidRPr="007625F3">
              <w:rPr>
                <w:rFonts w:cs="Arial"/>
              </w:rPr>
              <w:t>Je nach individuellem Bedarf werden die Eingliederungsleistungen gem. § 16 SGB II genutzt, sowie die Netzwerkpartner mit den entsprechenden sozialintegrativen Leistungen in den Integrationsprozess mit einbezogen.</w:t>
            </w:r>
          </w:p>
          <w:p w:rsidR="00806942" w:rsidRPr="007625F3" w:rsidRDefault="00806942" w:rsidP="0043371C">
            <w:pPr>
              <w:rPr>
                <w:rFonts w:cs="Arial"/>
              </w:rPr>
            </w:pPr>
          </w:p>
          <w:p w:rsidR="00806942" w:rsidRPr="007625F3" w:rsidRDefault="00806942" w:rsidP="0043371C">
            <w:pPr>
              <w:rPr>
                <w:rFonts w:cs="Arial"/>
              </w:rPr>
            </w:pPr>
          </w:p>
          <w:p w:rsidR="00806942" w:rsidRPr="007625F3" w:rsidRDefault="00806942" w:rsidP="0043371C">
            <w:pPr>
              <w:rPr>
                <w:rFonts w:cs="Arial"/>
              </w:rPr>
            </w:pPr>
            <w:r w:rsidRPr="007625F3">
              <w:rPr>
                <w:rFonts w:cs="Arial"/>
              </w:rPr>
              <w:t>Grundsätzlich ist mit jedem  erwerbsfähigen Leistungsberechtigten eine Eingliederungsvereinbarung abzuschließen.</w:t>
            </w:r>
          </w:p>
          <w:p w:rsidR="00806942" w:rsidRPr="007625F3" w:rsidRDefault="00806942" w:rsidP="0043371C">
            <w:pPr>
              <w:rPr>
                <w:rFonts w:cs="Arial"/>
              </w:rPr>
            </w:pPr>
            <w:r w:rsidRPr="007625F3">
              <w:rPr>
                <w:rFonts w:cs="Arial"/>
              </w:rPr>
              <w:t>Die einschlägigen Bestimmungen in Bezug auf die Einhaltung der Mindeststandards gelten auch für Hilfeempfänger im Fallmanagement.</w:t>
            </w:r>
          </w:p>
          <w:p w:rsidR="00806942" w:rsidRPr="007625F3" w:rsidRDefault="00806942" w:rsidP="0043371C">
            <w:pPr>
              <w:rPr>
                <w:rFonts w:cs="Arial"/>
              </w:rPr>
            </w:pPr>
            <w:r w:rsidRPr="007625F3">
              <w:rPr>
                <w:rFonts w:cs="Arial"/>
              </w:rPr>
              <w:t>Beim Abschluss der Eingliederungsvereinbarung sind die Besonderheiten des Einzelfalles, insbesondere die Vermittlungshemmnisse des erwerbsfähigen Leistungsberechtigten, zu berücksichtigen.</w:t>
            </w:r>
          </w:p>
          <w:p w:rsidR="00806942" w:rsidRPr="007625F3" w:rsidRDefault="00806942" w:rsidP="0043371C">
            <w:pPr>
              <w:rPr>
                <w:rFonts w:cs="Arial"/>
              </w:rPr>
            </w:pPr>
          </w:p>
          <w:p w:rsidR="00806942" w:rsidRPr="00D26446" w:rsidRDefault="00806942" w:rsidP="0043371C">
            <w:pPr>
              <w:rPr>
                <w:rFonts w:cs="Arial"/>
              </w:rPr>
            </w:pPr>
            <w:r w:rsidRPr="00D26446">
              <w:rPr>
                <w:rFonts w:cs="Arial"/>
              </w:rPr>
              <w:t>Zu beachten ist, dass</w:t>
            </w:r>
          </w:p>
          <w:p w:rsidR="00806942" w:rsidRPr="00D26446" w:rsidRDefault="00806942" w:rsidP="00806942">
            <w:pPr>
              <w:numPr>
                <w:ilvl w:val="0"/>
                <w:numId w:val="33"/>
              </w:numPr>
              <w:rPr>
                <w:rFonts w:cs="Arial"/>
              </w:rPr>
            </w:pPr>
            <w:r w:rsidRPr="00D26446">
              <w:rPr>
                <w:rFonts w:cs="Arial"/>
              </w:rPr>
              <w:t>alle Vereinbarungen verständlich formuliert sind,</w:t>
            </w:r>
          </w:p>
          <w:p w:rsidR="00806942" w:rsidRPr="00D26446" w:rsidRDefault="00806942" w:rsidP="00806942">
            <w:pPr>
              <w:numPr>
                <w:ilvl w:val="0"/>
                <w:numId w:val="33"/>
              </w:numPr>
              <w:rPr>
                <w:rFonts w:cs="Arial"/>
              </w:rPr>
            </w:pPr>
            <w:r w:rsidRPr="00D26446">
              <w:rPr>
                <w:rFonts w:cs="Arial"/>
              </w:rPr>
              <w:t>die Vereinbarungen nicht von dem vorab Besprochenen abweichen und ein konkretes Integrationsziel aufweisen, das mit dem Profiling/Assessment übereinstimmt,</w:t>
            </w:r>
          </w:p>
          <w:p w:rsidR="00806942" w:rsidRPr="00D26446" w:rsidRDefault="00806942" w:rsidP="00806942">
            <w:pPr>
              <w:numPr>
                <w:ilvl w:val="0"/>
                <w:numId w:val="33"/>
              </w:numPr>
              <w:rPr>
                <w:rFonts w:cs="Arial"/>
              </w:rPr>
            </w:pPr>
            <w:r w:rsidRPr="00D26446">
              <w:rPr>
                <w:rFonts w:cs="Arial"/>
              </w:rPr>
              <w:t xml:space="preserve">keine Punkte aufgenommen </w:t>
            </w:r>
            <w:proofErr w:type="gramStart"/>
            <w:r w:rsidRPr="00D26446">
              <w:rPr>
                <w:rFonts w:cs="Arial"/>
              </w:rPr>
              <w:t>werden</w:t>
            </w:r>
            <w:proofErr w:type="gramEnd"/>
            <w:r w:rsidRPr="00D26446">
              <w:rPr>
                <w:rFonts w:cs="Arial"/>
              </w:rPr>
              <w:t>, deren Erfüllung keine Aussicht auf Erfolg haben.</w:t>
            </w:r>
          </w:p>
          <w:p w:rsidR="00806942" w:rsidRPr="00D26446" w:rsidRDefault="00806942" w:rsidP="0043371C">
            <w:pPr>
              <w:rPr>
                <w:rFonts w:cs="Arial"/>
              </w:rPr>
            </w:pPr>
          </w:p>
          <w:p w:rsidR="00806942" w:rsidRPr="00D26446" w:rsidRDefault="00806942" w:rsidP="0043371C">
            <w:pPr>
              <w:rPr>
                <w:rFonts w:cs="Arial"/>
              </w:rPr>
            </w:pPr>
            <w:r w:rsidRPr="00D26446">
              <w:rPr>
                <w:rFonts w:cs="Arial"/>
              </w:rPr>
              <w:t>Der Fallmanager behält in jedem Fall die originäre Fallverantwortung unabhängig von dem Maß, in dem Leistungen an Dritte delegiert werden. Die Leistungsteuerung versteht sich deshalb nicht nur als reaktives Element, sondern als ein Element, das immer den Gesamtprozess im Blick hat.</w:t>
            </w:r>
          </w:p>
          <w:p w:rsidR="00806942" w:rsidRPr="00D26446" w:rsidRDefault="00806942" w:rsidP="0043371C">
            <w:pPr>
              <w:rPr>
                <w:rFonts w:cs="Arial"/>
              </w:rPr>
            </w:pPr>
            <w:r w:rsidRPr="00D26446">
              <w:rPr>
                <w:rFonts w:cs="Arial"/>
              </w:rPr>
              <w:t>Die Leistungssteuerung bezieht sich auf die Bereiche:</w:t>
            </w:r>
          </w:p>
          <w:p w:rsidR="00806942" w:rsidRPr="00D26446" w:rsidRDefault="00806942" w:rsidP="00806942">
            <w:pPr>
              <w:numPr>
                <w:ilvl w:val="0"/>
                <w:numId w:val="35"/>
              </w:numPr>
              <w:rPr>
                <w:rFonts w:cs="Arial"/>
              </w:rPr>
            </w:pPr>
            <w:r w:rsidRPr="00D26446">
              <w:rPr>
                <w:rFonts w:cs="Arial"/>
              </w:rPr>
              <w:t>Umsetzung der Eingliederungsvereinbarung</w:t>
            </w:r>
          </w:p>
          <w:p w:rsidR="00806942" w:rsidRPr="00D26446" w:rsidRDefault="00806942" w:rsidP="00806942">
            <w:pPr>
              <w:numPr>
                <w:ilvl w:val="0"/>
                <w:numId w:val="35"/>
              </w:numPr>
              <w:rPr>
                <w:rFonts w:cs="Arial"/>
              </w:rPr>
            </w:pPr>
            <w:r w:rsidRPr="00D26446">
              <w:rPr>
                <w:rFonts w:cs="Arial"/>
              </w:rPr>
              <w:t>Begleitung und Steuerung der Prozesse nach individuellem Bedarf</w:t>
            </w:r>
          </w:p>
          <w:p w:rsidR="00806942" w:rsidRPr="00D26446" w:rsidRDefault="00806942" w:rsidP="00806942">
            <w:pPr>
              <w:numPr>
                <w:ilvl w:val="0"/>
                <w:numId w:val="35"/>
              </w:numPr>
              <w:rPr>
                <w:rFonts w:cs="Arial"/>
              </w:rPr>
            </w:pPr>
            <w:r w:rsidRPr="00D26446">
              <w:rPr>
                <w:rFonts w:cs="Arial"/>
              </w:rPr>
              <w:t>Ermittlung und Wertung der Teilergebnisse und Nachsteuerung</w:t>
            </w:r>
          </w:p>
          <w:p w:rsidR="00806942" w:rsidRPr="00D26446" w:rsidRDefault="00806942" w:rsidP="00806942">
            <w:pPr>
              <w:numPr>
                <w:ilvl w:val="0"/>
                <w:numId w:val="35"/>
              </w:numPr>
              <w:rPr>
                <w:rFonts w:cs="Arial"/>
              </w:rPr>
            </w:pPr>
            <w:r w:rsidRPr="00D26446">
              <w:rPr>
                <w:rFonts w:cs="Arial"/>
              </w:rPr>
              <w:t>Einschaltung Dritter: z.B. soziale Netzwerkpartner und Nachhalten der vereinbarten Leistungen</w:t>
            </w:r>
          </w:p>
          <w:p w:rsidR="00806942" w:rsidRDefault="00806942" w:rsidP="0043371C">
            <w:pPr>
              <w:rPr>
                <w:rFonts w:cs="Arial"/>
              </w:rPr>
            </w:pPr>
          </w:p>
          <w:p w:rsidR="00806942" w:rsidRPr="007625F3" w:rsidRDefault="00806942" w:rsidP="0043371C">
            <w:pPr>
              <w:rPr>
                <w:rFonts w:cs="Arial"/>
              </w:rPr>
            </w:pPr>
            <w:r w:rsidRPr="007625F3">
              <w:rPr>
                <w:rFonts w:cs="Arial"/>
              </w:rPr>
              <w:t>Die Betreuung im Fallmanagement soll beendet werden, wenn die Zugangskriterien nicht mehr vorliegen und eingeschätzt werden kann, dass der erwerbsfähige Leistungsberechtigte auch ohne Betreuung im Fallmanagement Integrationsfortschritte erzielt bzw. in Beschäftigung integriert werden kann. Die Zuweisung ist spätestens alle 6 Monate zu überprüfen. Die Betreuung im Fallmanagement soll in der Regel  2 Jahre nicht überschreiten.</w:t>
            </w:r>
          </w:p>
          <w:p w:rsidR="00806942" w:rsidRPr="007625F3" w:rsidRDefault="00806942" w:rsidP="0043371C">
            <w:pPr>
              <w:rPr>
                <w:rFonts w:cs="Arial"/>
              </w:rPr>
            </w:pPr>
          </w:p>
          <w:p w:rsidR="00806942" w:rsidRPr="007625F3" w:rsidRDefault="00806942" w:rsidP="0043371C">
            <w:pPr>
              <w:rPr>
                <w:rFonts w:cs="Arial"/>
              </w:rPr>
            </w:pPr>
            <w:r w:rsidRPr="007625F3">
              <w:rPr>
                <w:rFonts w:cs="Arial"/>
              </w:rPr>
              <w:t xml:space="preserve">Grundsätzlich obliegt die Entscheidung über den Fallabgang  dem Fallmanager, er hat dies im Einzelfall zu begründen. Die Gründe für die </w:t>
            </w:r>
            <w:r w:rsidR="007625F3" w:rsidRPr="007625F3">
              <w:rPr>
                <w:rFonts w:cs="Arial"/>
              </w:rPr>
              <w:t>Beendigung sind entsprechend der VerBIS- Arbeitshilfe</w:t>
            </w:r>
            <w:r w:rsidRPr="007625F3">
              <w:rPr>
                <w:rFonts w:cs="Arial"/>
              </w:rPr>
              <w:t xml:space="preserve"> vorzunehmen und im Fachverfahren VerBIS zu dokumentieren.</w:t>
            </w:r>
          </w:p>
          <w:p w:rsidR="00806942" w:rsidRPr="007625F3" w:rsidRDefault="00806942" w:rsidP="0043371C">
            <w:pPr>
              <w:rPr>
                <w:rFonts w:cs="Arial"/>
              </w:rPr>
            </w:pPr>
          </w:p>
          <w:p w:rsidR="00806942" w:rsidRPr="007625F3" w:rsidRDefault="00806942" w:rsidP="0043371C">
            <w:pPr>
              <w:rPr>
                <w:rFonts w:cs="Arial"/>
              </w:rPr>
            </w:pPr>
            <w:r w:rsidRPr="007625F3">
              <w:rPr>
                <w:rFonts w:cs="Arial"/>
              </w:rPr>
              <w:t>Es sind folgende Fallkonstellationen zu unterscheiden:</w:t>
            </w:r>
          </w:p>
          <w:p w:rsidR="00806942" w:rsidRPr="007625F3" w:rsidRDefault="00806942" w:rsidP="00806942">
            <w:pPr>
              <w:numPr>
                <w:ilvl w:val="0"/>
                <w:numId w:val="36"/>
              </w:numPr>
              <w:rPr>
                <w:rFonts w:cs="Arial"/>
              </w:rPr>
            </w:pPr>
            <w:r w:rsidRPr="007625F3">
              <w:rPr>
                <w:rFonts w:cs="Arial"/>
              </w:rPr>
              <w:t xml:space="preserve">Arbeitsaufnahme und/oder laufende Zuschüsse an AN und/oder AG </w:t>
            </w:r>
          </w:p>
          <w:p w:rsidR="00806942" w:rsidRPr="007625F3" w:rsidRDefault="00A4049C" w:rsidP="00806942">
            <w:pPr>
              <w:numPr>
                <w:ilvl w:val="0"/>
                <w:numId w:val="36"/>
              </w:numPr>
              <w:rPr>
                <w:rFonts w:cs="Arial"/>
              </w:rPr>
            </w:pPr>
            <w:r w:rsidRPr="007625F3">
              <w:rPr>
                <w:rFonts w:cs="Arial"/>
              </w:rPr>
              <w:t>t</w:t>
            </w:r>
            <w:r w:rsidR="00806942" w:rsidRPr="007625F3">
              <w:rPr>
                <w:rFonts w:cs="Arial"/>
              </w:rPr>
              <w:t>eilweise oder gesamte Behebung der multiplen Vermittlungshemmnisse</w:t>
            </w:r>
          </w:p>
          <w:p w:rsidR="00806942" w:rsidRPr="007625F3" w:rsidRDefault="00806942" w:rsidP="00806942">
            <w:pPr>
              <w:numPr>
                <w:ilvl w:val="0"/>
                <w:numId w:val="36"/>
              </w:numPr>
              <w:rPr>
                <w:rFonts w:cs="Arial"/>
              </w:rPr>
            </w:pPr>
            <w:r w:rsidRPr="007625F3">
              <w:rPr>
                <w:rFonts w:cs="Arial"/>
              </w:rPr>
              <w:t xml:space="preserve">Abgabe an den ANoAV </w:t>
            </w:r>
          </w:p>
          <w:p w:rsidR="00806942" w:rsidRPr="007625F3" w:rsidRDefault="00806942" w:rsidP="00806942">
            <w:pPr>
              <w:numPr>
                <w:ilvl w:val="0"/>
                <w:numId w:val="36"/>
              </w:numPr>
              <w:rPr>
                <w:rFonts w:cs="Arial"/>
              </w:rPr>
            </w:pPr>
            <w:r w:rsidRPr="007625F3">
              <w:rPr>
                <w:rFonts w:cs="Arial"/>
              </w:rPr>
              <w:t>Überleitung in einen anderen Rechtskreis</w:t>
            </w:r>
          </w:p>
          <w:p w:rsidR="00806942" w:rsidRPr="007625F3" w:rsidRDefault="00806942" w:rsidP="0043371C">
            <w:pPr>
              <w:rPr>
                <w:rFonts w:cs="Arial"/>
              </w:rPr>
            </w:pPr>
          </w:p>
          <w:p w:rsidR="00806942" w:rsidRPr="007625F3" w:rsidRDefault="007625F3" w:rsidP="0043371C">
            <w:pPr>
              <w:rPr>
                <w:rFonts w:cs="Arial"/>
              </w:rPr>
            </w:pPr>
            <w:r>
              <w:rPr>
                <w:rFonts w:cs="Arial"/>
              </w:rPr>
              <w:t>z</w:t>
            </w:r>
            <w:r w:rsidR="00806942" w:rsidRPr="007625F3">
              <w:rPr>
                <w:rFonts w:cs="Arial"/>
              </w:rPr>
              <w:t>u 1.) Arbeitsaufnahme (befristet oder unbefristet) und/oder laufende Zuschüsse an AN und/oder AG und weitere Hilfebedürftigkeit: Der Kunde verbleibt nach Bedarf weiterhin max. 6 Monate in der Betreuung des Fallmanagers.</w:t>
            </w:r>
          </w:p>
          <w:p w:rsidR="00806942" w:rsidRPr="00D26446" w:rsidRDefault="00806942" w:rsidP="0043371C">
            <w:pPr>
              <w:rPr>
                <w:rFonts w:cs="Arial"/>
              </w:rPr>
            </w:pPr>
          </w:p>
          <w:p w:rsidR="00806942" w:rsidRPr="00D26446" w:rsidRDefault="007625F3" w:rsidP="0043371C">
            <w:pPr>
              <w:rPr>
                <w:rFonts w:cs="Arial"/>
              </w:rPr>
            </w:pPr>
            <w:r>
              <w:rPr>
                <w:rFonts w:cs="Arial"/>
              </w:rPr>
              <w:t>zu 2.) t</w:t>
            </w:r>
            <w:r w:rsidR="00806942" w:rsidRPr="00D26446">
              <w:rPr>
                <w:rFonts w:cs="Arial"/>
              </w:rPr>
              <w:t xml:space="preserve">eilweise oder gesamte Behebung der multiplen Vermittlungshemmnisse </w:t>
            </w:r>
          </w:p>
          <w:p w:rsidR="00806942" w:rsidRPr="00D26446" w:rsidRDefault="00806942" w:rsidP="0043371C">
            <w:pPr>
              <w:rPr>
                <w:rFonts w:cs="Arial"/>
              </w:rPr>
            </w:pPr>
            <w:r w:rsidRPr="00D26446">
              <w:rPr>
                <w:rFonts w:cs="Arial"/>
              </w:rPr>
              <w:t>Bei teilweiser Behebung der Vermittlungshemmnisse ist die individuelle Fallgestaltung, unter Berücksichtigung der Integrationsplanung, ausschlaggebend hinsichtlich der Entscheidung Abgabe an den ANoAV oder nicht.</w:t>
            </w:r>
          </w:p>
          <w:p w:rsidR="00806942" w:rsidRPr="00D26446" w:rsidRDefault="00806942" w:rsidP="0043371C">
            <w:pPr>
              <w:rPr>
                <w:rFonts w:cs="Arial"/>
              </w:rPr>
            </w:pPr>
          </w:p>
          <w:p w:rsidR="00806942" w:rsidRPr="007625F3" w:rsidRDefault="007625F3" w:rsidP="0043371C">
            <w:pPr>
              <w:rPr>
                <w:rFonts w:cs="Arial"/>
              </w:rPr>
            </w:pPr>
            <w:r w:rsidRPr="007625F3">
              <w:rPr>
                <w:rFonts w:cs="Arial"/>
              </w:rPr>
              <w:t>z</w:t>
            </w:r>
            <w:r w:rsidR="00806942" w:rsidRPr="007625F3">
              <w:rPr>
                <w:rFonts w:cs="Arial"/>
              </w:rPr>
              <w:t>u 3.) Abgabe an den ANoAV</w:t>
            </w:r>
          </w:p>
          <w:p w:rsidR="00806942" w:rsidRPr="007625F3" w:rsidRDefault="00806942" w:rsidP="0043371C">
            <w:pPr>
              <w:rPr>
                <w:rFonts w:cs="Arial"/>
              </w:rPr>
            </w:pPr>
            <w:r w:rsidRPr="007625F3">
              <w:rPr>
                <w:rFonts w:cs="Arial"/>
              </w:rPr>
              <w:t>Der Fallmanager legt begründet fest, wenn ein erwerbsfähiger Leistungsberechtigte mit multiplen Vermittlungshemmnissen auch durch intensive Betreuung nicht mehr an den Arbeitsmarkt herangeführt werden kann und somit keine weiteren Aktivitäten im Rahmen des Fallmanagements erfolgen.</w:t>
            </w:r>
          </w:p>
          <w:p w:rsidR="00806942" w:rsidRPr="007625F3" w:rsidRDefault="00806942" w:rsidP="0043371C">
            <w:pPr>
              <w:rPr>
                <w:rFonts w:cs="Arial"/>
              </w:rPr>
            </w:pPr>
            <w:r w:rsidRPr="007625F3">
              <w:rPr>
                <w:rFonts w:cs="Arial"/>
              </w:rPr>
              <w:t xml:space="preserve">ANoAV und  erwerbsfähige Leistungsberechtigte werden rechtzeitig mit einbezogen, um die Abgabe reibungslos zu gestalten. </w:t>
            </w:r>
          </w:p>
          <w:p w:rsidR="00806942" w:rsidRPr="007625F3" w:rsidRDefault="00806942" w:rsidP="0043371C">
            <w:pPr>
              <w:rPr>
                <w:rFonts w:cs="Arial"/>
              </w:rPr>
            </w:pPr>
          </w:p>
          <w:p w:rsidR="00806942" w:rsidRPr="007625F3" w:rsidRDefault="007625F3" w:rsidP="0043371C">
            <w:pPr>
              <w:rPr>
                <w:rFonts w:cs="Arial"/>
              </w:rPr>
            </w:pPr>
            <w:r w:rsidRPr="007625F3">
              <w:rPr>
                <w:rFonts w:cs="Arial"/>
              </w:rPr>
              <w:t>z</w:t>
            </w:r>
            <w:r w:rsidR="00806942" w:rsidRPr="007625F3">
              <w:rPr>
                <w:rFonts w:cs="Arial"/>
              </w:rPr>
              <w:t xml:space="preserve">u 4.) Überleitung in einen anderen Rechtskreis </w:t>
            </w:r>
          </w:p>
          <w:p w:rsidR="00806942" w:rsidRPr="007625F3" w:rsidRDefault="00806942" w:rsidP="0043371C">
            <w:pPr>
              <w:rPr>
                <w:rFonts w:cs="Arial"/>
              </w:rPr>
            </w:pPr>
            <w:r w:rsidRPr="007625F3">
              <w:rPr>
                <w:rFonts w:cs="Arial"/>
              </w:rPr>
              <w:lastRenderedPageBreak/>
              <w:t>Ist lt. medizinischer Feststellung davon auszugehen, dass Leistungsunfähigkeit auf Dauer besteht, informiert der Fallmanager d</w:t>
            </w:r>
            <w:r w:rsidR="001631BF">
              <w:rPr>
                <w:rFonts w:cs="Arial"/>
              </w:rPr>
              <w:t>en</w:t>
            </w:r>
            <w:r w:rsidRPr="007625F3">
              <w:rPr>
                <w:rFonts w:cs="Arial"/>
              </w:rPr>
              <w:t xml:space="preserve"> zuständige</w:t>
            </w:r>
            <w:r w:rsidR="001631BF">
              <w:rPr>
                <w:rFonts w:cs="Arial"/>
              </w:rPr>
              <w:t>n</w:t>
            </w:r>
            <w:r w:rsidRPr="007625F3">
              <w:rPr>
                <w:rFonts w:cs="Arial"/>
              </w:rPr>
              <w:t xml:space="preserve"> Leistungs</w:t>
            </w:r>
            <w:r w:rsidR="001631BF">
              <w:rPr>
                <w:rFonts w:cs="Arial"/>
              </w:rPr>
              <w:t xml:space="preserve">bereich </w:t>
            </w:r>
            <w:r w:rsidRPr="007625F3">
              <w:rPr>
                <w:rFonts w:cs="Arial"/>
              </w:rPr>
              <w:t>de</w:t>
            </w:r>
            <w:r w:rsidR="001631BF">
              <w:rPr>
                <w:rFonts w:cs="Arial"/>
              </w:rPr>
              <w:t>s Jobcenters.</w:t>
            </w:r>
            <w:r w:rsidRPr="007625F3">
              <w:rPr>
                <w:rFonts w:cs="Arial"/>
              </w:rPr>
              <w:t xml:space="preserve"> Diese</w:t>
            </w:r>
            <w:r w:rsidR="001631BF">
              <w:rPr>
                <w:rFonts w:cs="Arial"/>
              </w:rPr>
              <w:t>r</w:t>
            </w:r>
            <w:r w:rsidRPr="007625F3">
              <w:rPr>
                <w:rFonts w:cs="Arial"/>
              </w:rPr>
              <w:t xml:space="preserve"> leitet die erforderlichen Schritte zum Rechtskreiswechsel ein.</w:t>
            </w:r>
          </w:p>
          <w:p w:rsidR="00806942" w:rsidRPr="007625F3" w:rsidRDefault="00806942" w:rsidP="0043371C">
            <w:pPr>
              <w:rPr>
                <w:rFonts w:cs="Arial"/>
              </w:rPr>
            </w:pPr>
          </w:p>
          <w:p w:rsidR="00806942" w:rsidRPr="00D26446" w:rsidRDefault="00806942" w:rsidP="0043371C">
            <w:pPr>
              <w:rPr>
                <w:rFonts w:cs="Arial"/>
              </w:rPr>
            </w:pPr>
            <w:r w:rsidRPr="007625F3">
              <w:rPr>
                <w:rFonts w:cs="Arial"/>
              </w:rPr>
              <w:t>Der  erwerbsfähige Leistungsberechtigte sollte solange im Fallmanagement bleiben, bis der Übergang in den Rechtskreis SGB XII abgeschlossen ist.</w:t>
            </w:r>
            <w:r w:rsidRPr="00D26446">
              <w:rPr>
                <w:rFonts w:cs="Arial"/>
              </w:rPr>
              <w:t xml:space="preserve"> </w:t>
            </w:r>
          </w:p>
        </w:tc>
      </w:tr>
      <w:tr w:rsidR="00806942" w:rsidRPr="00D26446" w:rsidTr="0043371C">
        <w:tc>
          <w:tcPr>
            <w:tcW w:w="0" w:type="auto"/>
          </w:tcPr>
          <w:p w:rsidR="00806942" w:rsidRDefault="00806942" w:rsidP="0043371C">
            <w:pPr>
              <w:rPr>
                <w:rFonts w:cs="Arial"/>
                <w:b/>
              </w:rPr>
            </w:pPr>
            <w:r w:rsidRPr="00D26446">
              <w:rPr>
                <w:rFonts w:cs="Arial"/>
                <w:b/>
              </w:rPr>
              <w:lastRenderedPageBreak/>
              <w:t>Organisation</w:t>
            </w:r>
          </w:p>
          <w:p w:rsidR="00806942" w:rsidRDefault="00806942" w:rsidP="0043371C">
            <w:pPr>
              <w:rPr>
                <w:rFonts w:cs="Arial"/>
                <w:b/>
              </w:rPr>
            </w:pPr>
          </w:p>
          <w:p w:rsidR="00806942" w:rsidRDefault="00806942" w:rsidP="0043371C">
            <w:pPr>
              <w:rPr>
                <w:rFonts w:cs="Arial"/>
                <w:b/>
              </w:rPr>
            </w:pPr>
          </w:p>
          <w:p w:rsidR="00806942" w:rsidRDefault="00806942" w:rsidP="0043371C">
            <w:pPr>
              <w:rPr>
                <w:rFonts w:cs="Arial"/>
                <w:b/>
              </w:rPr>
            </w:pPr>
          </w:p>
          <w:p w:rsidR="00806942" w:rsidRDefault="00806942" w:rsidP="0043371C">
            <w:pPr>
              <w:rPr>
                <w:rFonts w:cs="Arial"/>
                <w:b/>
              </w:rPr>
            </w:pPr>
          </w:p>
          <w:p w:rsidR="00806942" w:rsidRDefault="00806942" w:rsidP="0043371C">
            <w:pPr>
              <w:rPr>
                <w:rFonts w:cs="Arial"/>
                <w:b/>
              </w:rPr>
            </w:pPr>
          </w:p>
          <w:p w:rsidR="00806942" w:rsidRDefault="00806942" w:rsidP="0043371C">
            <w:pPr>
              <w:rPr>
                <w:rFonts w:cs="Arial"/>
                <w:b/>
              </w:rPr>
            </w:pPr>
          </w:p>
          <w:p w:rsidR="00806942" w:rsidRDefault="00806942" w:rsidP="0043371C">
            <w:pPr>
              <w:rPr>
                <w:rFonts w:cs="Arial"/>
                <w:b/>
              </w:rPr>
            </w:pPr>
          </w:p>
          <w:p w:rsidR="00806942" w:rsidRDefault="00806942" w:rsidP="0043371C">
            <w:pPr>
              <w:rPr>
                <w:rFonts w:cs="Arial"/>
                <w:b/>
              </w:rPr>
            </w:pPr>
          </w:p>
          <w:p w:rsidR="00806942" w:rsidRPr="006D7D59" w:rsidRDefault="00806942" w:rsidP="0043371C">
            <w:pPr>
              <w:rPr>
                <w:rFonts w:cs="Arial"/>
                <w:b/>
                <w:color w:val="0000FF"/>
                <w:sz w:val="16"/>
                <w:szCs w:val="16"/>
              </w:rPr>
            </w:pPr>
          </w:p>
        </w:tc>
        <w:tc>
          <w:tcPr>
            <w:tcW w:w="0" w:type="auto"/>
          </w:tcPr>
          <w:p w:rsidR="00806942" w:rsidRPr="007625F3" w:rsidRDefault="00806942" w:rsidP="0043371C">
            <w:pPr>
              <w:rPr>
                <w:rFonts w:cs="Arial"/>
              </w:rPr>
            </w:pPr>
            <w:r w:rsidRPr="007625F3">
              <w:rPr>
                <w:rFonts w:cs="Arial"/>
              </w:rPr>
              <w:t>Die qualifizierte Betreuung der  erwerbsfähige</w:t>
            </w:r>
            <w:r w:rsidR="00A3362E">
              <w:rPr>
                <w:rFonts w:cs="Arial"/>
              </w:rPr>
              <w:t>n</w:t>
            </w:r>
            <w:r w:rsidRPr="007625F3">
              <w:rPr>
                <w:rFonts w:cs="Arial"/>
              </w:rPr>
              <w:t xml:space="preserve"> Leistungsberechtigte</w:t>
            </w:r>
            <w:r w:rsidR="00A3362E">
              <w:rPr>
                <w:rFonts w:cs="Arial"/>
              </w:rPr>
              <w:t>n</w:t>
            </w:r>
            <w:r w:rsidRPr="007625F3">
              <w:rPr>
                <w:rFonts w:cs="Arial"/>
              </w:rPr>
              <w:t xml:space="preserve"> unter Berücksichtigung der Festlegungen aus diesem Fallmanagementkonzept ist an allen 3 Standorten des J</w:t>
            </w:r>
            <w:r w:rsidR="007625F3">
              <w:rPr>
                <w:rFonts w:cs="Arial"/>
              </w:rPr>
              <w:t>c</w:t>
            </w:r>
            <w:r w:rsidRPr="007625F3">
              <w:rPr>
                <w:rFonts w:cs="Arial"/>
              </w:rPr>
              <w:t xml:space="preserve"> Oberspreewald Lausitz abgesichert.</w:t>
            </w:r>
          </w:p>
          <w:p w:rsidR="00806942" w:rsidRPr="00D26446" w:rsidRDefault="00806942" w:rsidP="0043371C">
            <w:pPr>
              <w:rPr>
                <w:rFonts w:cs="Arial"/>
              </w:rPr>
            </w:pPr>
          </w:p>
          <w:p w:rsidR="00806942" w:rsidRPr="00B930FF" w:rsidRDefault="00806942" w:rsidP="0043371C">
            <w:pPr>
              <w:rPr>
                <w:rFonts w:cs="Arial"/>
              </w:rPr>
            </w:pPr>
            <w:r w:rsidRPr="00B930FF">
              <w:rPr>
                <w:rFonts w:cs="Arial"/>
              </w:rPr>
              <w:t xml:space="preserve">Der Anteil der Kunden im FM, die die Zugangskriterien FM erfüllen und in Betreuung sind, muss zum 31.12.12 mindestens </w:t>
            </w:r>
            <w:r w:rsidR="00B930FF" w:rsidRPr="00B930FF">
              <w:rPr>
                <w:rFonts w:cs="Arial"/>
              </w:rPr>
              <w:t>38</w:t>
            </w:r>
            <w:r w:rsidRPr="00B930FF">
              <w:rPr>
                <w:rFonts w:cs="Arial"/>
              </w:rPr>
              <w:t xml:space="preserve"> %  betragen.</w:t>
            </w:r>
          </w:p>
          <w:p w:rsidR="00806942" w:rsidRPr="00B930FF" w:rsidRDefault="00806942" w:rsidP="0043371C">
            <w:pPr>
              <w:rPr>
                <w:rFonts w:cs="Arial"/>
              </w:rPr>
            </w:pPr>
          </w:p>
          <w:p w:rsidR="00806942" w:rsidRPr="00B930FF" w:rsidRDefault="00806942" w:rsidP="0043371C">
            <w:pPr>
              <w:rPr>
                <w:rFonts w:cs="Arial"/>
              </w:rPr>
            </w:pPr>
            <w:r w:rsidRPr="00B930FF">
              <w:rPr>
                <w:rFonts w:cs="Arial"/>
              </w:rPr>
              <w:t>Der Anteil der Kunden im FM, die nicht die Zugangsvoraussetzungen erfüllen darf zum 31.12.12</w:t>
            </w:r>
          </w:p>
          <w:p w:rsidR="00806942" w:rsidRPr="004B7269" w:rsidRDefault="00B930FF" w:rsidP="0043371C">
            <w:pPr>
              <w:rPr>
                <w:rFonts w:cs="Arial"/>
                <w:color w:val="00B050"/>
              </w:rPr>
            </w:pPr>
            <w:r w:rsidRPr="00B930FF">
              <w:rPr>
                <w:rFonts w:cs="Arial"/>
              </w:rPr>
              <w:t>10%</w:t>
            </w:r>
            <w:r w:rsidR="00806942" w:rsidRPr="00B930FF">
              <w:rPr>
                <w:rFonts w:cs="Arial"/>
              </w:rPr>
              <w:t xml:space="preserve"> nicht übersteigen</w:t>
            </w:r>
            <w:r>
              <w:rPr>
                <w:rFonts w:cs="Arial"/>
              </w:rPr>
              <w:t>.</w:t>
            </w:r>
            <w:r w:rsidR="00806942" w:rsidRPr="004B7269">
              <w:rPr>
                <w:rFonts w:cs="Arial"/>
                <w:color w:val="00B050"/>
              </w:rPr>
              <w:t xml:space="preserve"> </w:t>
            </w:r>
          </w:p>
          <w:p w:rsidR="00806942" w:rsidRPr="00D26446" w:rsidRDefault="00806942" w:rsidP="0043371C">
            <w:pPr>
              <w:rPr>
                <w:rFonts w:cs="Arial"/>
              </w:rPr>
            </w:pPr>
          </w:p>
          <w:p w:rsidR="00806942" w:rsidRPr="007625F3" w:rsidRDefault="00806942" w:rsidP="0043371C">
            <w:pPr>
              <w:rPr>
                <w:rFonts w:cs="Arial"/>
              </w:rPr>
            </w:pPr>
            <w:r w:rsidRPr="007625F3">
              <w:rPr>
                <w:rFonts w:cs="Arial"/>
              </w:rPr>
              <w:t>Mit den Fallmanagementfunktionalitäten in VerBIS werden die fachlichen Teilprozesse: Fallzugang, Assessment, Integrationsplanung, Fallsteuerung und Fallabgang unterstützt.</w:t>
            </w:r>
          </w:p>
          <w:p w:rsidR="00806942" w:rsidRPr="007625F3" w:rsidRDefault="00806942" w:rsidP="0043371C">
            <w:pPr>
              <w:rPr>
                <w:rFonts w:cs="Arial"/>
              </w:rPr>
            </w:pPr>
            <w:r w:rsidRPr="007625F3">
              <w:rPr>
                <w:rFonts w:cs="Arial"/>
              </w:rPr>
              <w:t>Die Regelungen zum Sozialdatenschutz werden verbindlich angewandt.</w:t>
            </w:r>
          </w:p>
          <w:p w:rsidR="00806942" w:rsidRPr="007625F3" w:rsidRDefault="00806942" w:rsidP="0043371C">
            <w:pPr>
              <w:rPr>
                <w:rFonts w:cs="Arial"/>
              </w:rPr>
            </w:pPr>
          </w:p>
          <w:p w:rsidR="00806942" w:rsidRPr="007625F3" w:rsidRDefault="00806942" w:rsidP="0043371C">
            <w:pPr>
              <w:rPr>
                <w:rFonts w:cs="Arial"/>
              </w:rPr>
            </w:pPr>
            <w:r w:rsidRPr="007625F3">
              <w:rPr>
                <w:rFonts w:cs="Arial"/>
              </w:rPr>
              <w:t xml:space="preserve">Die Fallmanagementfunktionalitäten in VerBIS sind ist entsprechend der VerBIS- Arbeitshilfe  verbindlich zu nutzen. </w:t>
            </w:r>
          </w:p>
          <w:p w:rsidR="00A4049C" w:rsidRPr="007625F3" w:rsidRDefault="00A4049C" w:rsidP="0043371C">
            <w:pPr>
              <w:rPr>
                <w:rFonts w:cs="Arial"/>
              </w:rPr>
            </w:pPr>
          </w:p>
          <w:p w:rsidR="00806942" w:rsidRPr="007625F3" w:rsidRDefault="00806942" w:rsidP="0043371C">
            <w:pPr>
              <w:rPr>
                <w:rFonts w:cs="Arial"/>
              </w:rPr>
            </w:pPr>
            <w:r w:rsidRPr="007625F3">
              <w:rPr>
                <w:rFonts w:cs="Arial"/>
              </w:rPr>
              <w:t>Die Netzwerkarbeit und die Mitarbeit in Arbeitskreisen, in denen auch die Netzwerkpartner mitwirken wird an allen 3 Standorten de</w:t>
            </w:r>
            <w:r w:rsidR="007625F3">
              <w:rPr>
                <w:rFonts w:cs="Arial"/>
              </w:rPr>
              <w:t xml:space="preserve">s </w:t>
            </w:r>
            <w:proofErr w:type="spellStart"/>
            <w:r w:rsidR="007625F3">
              <w:rPr>
                <w:rFonts w:cs="Arial"/>
              </w:rPr>
              <w:t>J</w:t>
            </w:r>
            <w:r w:rsidR="0083614D">
              <w:rPr>
                <w:rFonts w:cs="Arial"/>
              </w:rPr>
              <w:t>c</w:t>
            </w:r>
            <w:proofErr w:type="spellEnd"/>
            <w:r w:rsidRPr="007625F3">
              <w:rPr>
                <w:rFonts w:cs="Arial"/>
              </w:rPr>
              <w:t xml:space="preserve"> Oberspreewald </w:t>
            </w:r>
            <w:r w:rsidR="007625F3">
              <w:rPr>
                <w:rFonts w:cs="Arial"/>
              </w:rPr>
              <w:t>-</w:t>
            </w:r>
            <w:r w:rsidRPr="007625F3">
              <w:rPr>
                <w:rFonts w:cs="Arial"/>
              </w:rPr>
              <w:t>Lausitz aktiv gestaltet.</w:t>
            </w:r>
          </w:p>
          <w:p w:rsidR="00806942" w:rsidRPr="00D26446" w:rsidRDefault="00806942" w:rsidP="0043371C">
            <w:pPr>
              <w:rPr>
                <w:rFonts w:cs="Arial"/>
              </w:rPr>
            </w:pPr>
          </w:p>
        </w:tc>
      </w:tr>
      <w:tr w:rsidR="00806942" w:rsidRPr="00D26446" w:rsidTr="0043371C">
        <w:tc>
          <w:tcPr>
            <w:tcW w:w="0" w:type="auto"/>
          </w:tcPr>
          <w:p w:rsidR="00806942" w:rsidRPr="00D26446" w:rsidRDefault="00806942" w:rsidP="0043371C">
            <w:pPr>
              <w:rPr>
                <w:rFonts w:cs="Arial"/>
                <w:b/>
              </w:rPr>
            </w:pPr>
            <w:r w:rsidRPr="00D26446">
              <w:rPr>
                <w:rFonts w:cs="Arial"/>
                <w:b/>
              </w:rPr>
              <w:t>Nachhaltung</w:t>
            </w:r>
          </w:p>
        </w:tc>
        <w:tc>
          <w:tcPr>
            <w:tcW w:w="0" w:type="auto"/>
          </w:tcPr>
          <w:p w:rsidR="00806942" w:rsidRPr="007625F3" w:rsidRDefault="00806942" w:rsidP="0043371C">
            <w:pPr>
              <w:rPr>
                <w:rFonts w:cs="Arial"/>
              </w:rPr>
            </w:pPr>
            <w:r w:rsidRPr="007625F3">
              <w:rPr>
                <w:rFonts w:cs="Arial"/>
              </w:rPr>
              <w:t>Die Festlegungen in diesem Fallmanagementkonzept werden anlassbezogen, mindestens jedoch einmal jährlich durch d</w:t>
            </w:r>
            <w:r w:rsidR="001631BF">
              <w:rPr>
                <w:rFonts w:cs="Arial"/>
              </w:rPr>
              <w:t>en Bereichsleiter M&amp;I</w:t>
            </w:r>
            <w:r w:rsidRPr="007625F3">
              <w:rPr>
                <w:rFonts w:cs="Arial"/>
              </w:rPr>
              <w:t xml:space="preserve"> auf Rechtmäßigkeit, Praxisbezug und Anwendbarkeit geprüft und gegebenenfalls angepasst.</w:t>
            </w:r>
          </w:p>
          <w:p w:rsidR="00806942" w:rsidRPr="007625F3" w:rsidRDefault="00806942" w:rsidP="0043371C">
            <w:pPr>
              <w:rPr>
                <w:rFonts w:cs="Arial"/>
              </w:rPr>
            </w:pPr>
          </w:p>
          <w:p w:rsidR="00806942" w:rsidRPr="007625F3" w:rsidRDefault="00806942" w:rsidP="0043371C">
            <w:pPr>
              <w:rPr>
                <w:rFonts w:cs="Arial"/>
              </w:rPr>
            </w:pPr>
            <w:r w:rsidRPr="007625F3">
              <w:rPr>
                <w:rFonts w:cs="Arial"/>
              </w:rPr>
              <w:t>Monatliche Datenerhebung bFM erfolgt über die</w:t>
            </w:r>
            <w:r w:rsidRPr="009F76D5">
              <w:rPr>
                <w:rFonts w:cs="Arial"/>
                <w:color w:val="00B050"/>
              </w:rPr>
              <w:t xml:space="preserve">  </w:t>
            </w:r>
            <w:r w:rsidRPr="007625F3">
              <w:rPr>
                <w:rFonts w:cs="Arial"/>
              </w:rPr>
              <w:t>DORA Abfrage</w:t>
            </w:r>
            <w:r w:rsidR="007625F3">
              <w:rPr>
                <w:rFonts w:cs="Arial"/>
              </w:rPr>
              <w:t xml:space="preserve"> </w:t>
            </w:r>
            <w:r w:rsidRPr="007625F3">
              <w:rPr>
                <w:rFonts w:cs="Arial"/>
              </w:rPr>
              <w:t>203 durch den V-DQM</w:t>
            </w:r>
            <w:r w:rsidR="007625F3">
              <w:rPr>
                <w:rFonts w:cs="Arial"/>
              </w:rPr>
              <w:t>. D</w:t>
            </w:r>
            <w:r w:rsidRPr="007625F3">
              <w:rPr>
                <w:rFonts w:cs="Arial"/>
              </w:rPr>
              <w:t xml:space="preserve">ie Ergebnisweiterleitung </w:t>
            </w:r>
            <w:r w:rsidR="007625F3">
              <w:rPr>
                <w:rFonts w:cs="Arial"/>
              </w:rPr>
              <w:t xml:space="preserve">erfolgt </w:t>
            </w:r>
            <w:r w:rsidRPr="007625F3">
              <w:rPr>
                <w:rFonts w:cs="Arial"/>
              </w:rPr>
              <w:t xml:space="preserve">an die TL zur </w:t>
            </w:r>
            <w:r w:rsidR="007625F3" w:rsidRPr="007625F3">
              <w:rPr>
                <w:rFonts w:cs="Arial"/>
              </w:rPr>
              <w:t>Qualitäts</w:t>
            </w:r>
            <w:r w:rsidR="007625F3">
              <w:rPr>
                <w:rFonts w:cs="Arial"/>
              </w:rPr>
              <w:t>s</w:t>
            </w:r>
            <w:r w:rsidR="007625F3" w:rsidRPr="007625F3">
              <w:rPr>
                <w:rFonts w:cs="Arial"/>
              </w:rPr>
              <w:t>icherung</w:t>
            </w:r>
            <w:r w:rsidRPr="007625F3">
              <w:rPr>
                <w:rFonts w:cs="Arial"/>
              </w:rPr>
              <w:t xml:space="preserve">. </w:t>
            </w:r>
          </w:p>
          <w:p w:rsidR="00806942" w:rsidRPr="007625F3" w:rsidRDefault="00806942" w:rsidP="0043371C">
            <w:pPr>
              <w:rPr>
                <w:rFonts w:cs="Arial"/>
              </w:rPr>
            </w:pPr>
          </w:p>
          <w:p w:rsidR="00806942" w:rsidRDefault="00806942" w:rsidP="0043371C">
            <w:pPr>
              <w:rPr>
                <w:rFonts w:cs="Arial"/>
              </w:rPr>
            </w:pPr>
            <w:r>
              <w:rPr>
                <w:rFonts w:cs="Arial"/>
              </w:rPr>
              <w:t xml:space="preserve">Im IKS des </w:t>
            </w:r>
            <w:proofErr w:type="spellStart"/>
            <w:r>
              <w:rPr>
                <w:rFonts w:cs="Arial"/>
              </w:rPr>
              <w:t>J</w:t>
            </w:r>
            <w:r w:rsidR="0083614D">
              <w:rPr>
                <w:rFonts w:cs="Arial"/>
              </w:rPr>
              <w:t>c</w:t>
            </w:r>
            <w:proofErr w:type="spellEnd"/>
            <w:r>
              <w:rPr>
                <w:rFonts w:cs="Arial"/>
              </w:rPr>
              <w:t xml:space="preserve"> OSL erfolgt eine fachaufsichtliche </w:t>
            </w:r>
            <w:r>
              <w:rPr>
                <w:rFonts w:cs="Arial"/>
              </w:rPr>
              <w:lastRenderedPageBreak/>
              <w:t>Prüfung von je zwei FM Fällen pro Monat/Team durch die zuständige</w:t>
            </w:r>
            <w:r w:rsidR="001631BF">
              <w:rPr>
                <w:rFonts w:cs="Arial"/>
              </w:rPr>
              <w:t>n</w:t>
            </w:r>
            <w:r>
              <w:rPr>
                <w:rFonts w:cs="Arial"/>
              </w:rPr>
              <w:t xml:space="preserve"> TL.</w:t>
            </w:r>
          </w:p>
          <w:p w:rsidR="00806942" w:rsidRDefault="00806942" w:rsidP="0043371C">
            <w:pPr>
              <w:rPr>
                <w:rFonts w:cs="Arial"/>
              </w:rPr>
            </w:pPr>
            <w:r>
              <w:rPr>
                <w:rFonts w:cs="Arial"/>
              </w:rPr>
              <w:t xml:space="preserve"> </w:t>
            </w:r>
          </w:p>
          <w:p w:rsidR="00806942" w:rsidRDefault="00806942" w:rsidP="0043371C">
            <w:pPr>
              <w:rPr>
                <w:rFonts w:cs="Arial"/>
              </w:rPr>
            </w:pPr>
            <w:r>
              <w:rPr>
                <w:rFonts w:cs="Arial"/>
              </w:rPr>
              <w:t>Die Auswahl der Fälle erfolgt zufällig.</w:t>
            </w:r>
          </w:p>
          <w:p w:rsidR="00A4049C" w:rsidRDefault="00A4049C" w:rsidP="0043371C">
            <w:pPr>
              <w:rPr>
                <w:rFonts w:cs="Arial"/>
              </w:rPr>
            </w:pPr>
          </w:p>
          <w:p w:rsidR="00806942" w:rsidRPr="006B6F5A" w:rsidRDefault="00806942" w:rsidP="0043371C">
            <w:pPr>
              <w:rPr>
                <w:rFonts w:cs="Arial"/>
              </w:rPr>
            </w:pPr>
            <w:r w:rsidRPr="006B6F5A">
              <w:rPr>
                <w:rFonts w:cs="Arial"/>
              </w:rPr>
              <w:t xml:space="preserve">Interaktionsformat: </w:t>
            </w:r>
          </w:p>
          <w:p w:rsidR="00806942" w:rsidRPr="006B6F5A" w:rsidRDefault="00806942" w:rsidP="0043371C">
            <w:pPr>
              <w:rPr>
                <w:rFonts w:cs="Arial"/>
              </w:rPr>
            </w:pPr>
            <w:r w:rsidRPr="006B6F5A">
              <w:rPr>
                <w:rFonts w:cs="Arial"/>
              </w:rPr>
              <w:t xml:space="preserve">Gemeinsame vierteljährliche Fallbesprechungen aller FM des </w:t>
            </w:r>
            <w:proofErr w:type="spellStart"/>
            <w:r w:rsidRPr="006B6F5A">
              <w:rPr>
                <w:rFonts w:cs="Arial"/>
              </w:rPr>
              <w:t>J</w:t>
            </w:r>
            <w:r w:rsidR="0083614D">
              <w:rPr>
                <w:rFonts w:cs="Arial"/>
              </w:rPr>
              <w:t>c</w:t>
            </w:r>
            <w:proofErr w:type="spellEnd"/>
            <w:r w:rsidRPr="006B6F5A">
              <w:rPr>
                <w:rFonts w:cs="Arial"/>
              </w:rPr>
              <w:t xml:space="preserve"> OSL</w:t>
            </w:r>
          </w:p>
          <w:p w:rsidR="00806942" w:rsidRPr="00D26446" w:rsidRDefault="00806942" w:rsidP="0043371C">
            <w:pPr>
              <w:rPr>
                <w:rFonts w:cs="Arial"/>
              </w:rPr>
            </w:pPr>
          </w:p>
        </w:tc>
      </w:tr>
    </w:tbl>
    <w:p w:rsidR="00806942" w:rsidRPr="00760560" w:rsidRDefault="00806942" w:rsidP="00806942">
      <w:pPr>
        <w:rPr>
          <w:sz w:val="28"/>
          <w:szCs w:val="28"/>
        </w:rPr>
      </w:pPr>
    </w:p>
    <w:p w:rsidR="005F44A3" w:rsidRDefault="0083614D" w:rsidP="00472DDE">
      <w:pPr>
        <w:pStyle w:val="Listenabsatz"/>
        <w:ind w:left="0"/>
        <w:contextualSpacing w:val="0"/>
      </w:pPr>
      <w:r>
        <w:t>gez. Kose</w:t>
      </w:r>
    </w:p>
    <w:p w:rsidR="0083614D" w:rsidRDefault="0083614D" w:rsidP="00472DDE">
      <w:pPr>
        <w:pStyle w:val="Listenabsatz"/>
        <w:ind w:left="0"/>
        <w:contextualSpacing w:val="0"/>
      </w:pPr>
      <w:r>
        <w:t>Geschäftsführerin</w:t>
      </w:r>
    </w:p>
    <w:sectPr w:rsidR="0083614D" w:rsidSect="005F44A3">
      <w:headerReference w:type="default" r:id="rId11"/>
      <w:footerReference w:type="default" r:id="rId12"/>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796" w:rsidRDefault="00721796" w:rsidP="005F44A3">
      <w:r>
        <w:separator/>
      </w:r>
    </w:p>
  </w:endnote>
  <w:endnote w:type="continuationSeparator" w:id="0">
    <w:p w:rsidR="00721796" w:rsidRDefault="00721796" w:rsidP="005F44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8"/>
      <w:docPartObj>
        <w:docPartGallery w:val="Page Numbers (Bottom of Page)"/>
        <w:docPartUnique/>
      </w:docPartObj>
    </w:sdtPr>
    <w:sdtContent>
      <w:p w:rsidR="005F44A3" w:rsidRDefault="00E156FE">
        <w:pPr>
          <w:pStyle w:val="Fuzeile"/>
          <w:jc w:val="right"/>
        </w:pPr>
        <w:fldSimple w:instr=" PAGE   \* MERGEFORMAT ">
          <w:r w:rsidR="00743223">
            <w:rPr>
              <w:noProof/>
            </w:rPr>
            <w:t>8</w:t>
          </w:r>
        </w:fldSimple>
      </w:p>
    </w:sdtContent>
  </w:sdt>
  <w:p w:rsidR="005F44A3" w:rsidRDefault="005F44A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796" w:rsidRDefault="00721796" w:rsidP="005F44A3">
      <w:r>
        <w:separator/>
      </w:r>
    </w:p>
  </w:footnote>
  <w:footnote w:type="continuationSeparator" w:id="0">
    <w:p w:rsidR="00721796" w:rsidRDefault="00721796" w:rsidP="005F4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4A3" w:rsidRDefault="005F44A3">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7">
    <w:nsid w:val="2FEC381B"/>
    <w:multiLevelType w:val="hybridMultilevel"/>
    <w:tmpl w:val="3D2E770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7F9"/>
    <w:multiLevelType w:val="hybridMultilevel"/>
    <w:tmpl w:val="9CE695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0">
    <w:nsid w:val="62407F59"/>
    <w:multiLevelType w:val="hybridMultilevel"/>
    <w:tmpl w:val="8206A9AC"/>
    <w:lvl w:ilvl="0" w:tplc="EF8EC36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716D20D8"/>
    <w:multiLevelType w:val="hybridMultilevel"/>
    <w:tmpl w:val="19CAB93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81D34A6"/>
    <w:multiLevelType w:val="hybridMultilevel"/>
    <w:tmpl w:val="43DC9C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3"/>
  </w:num>
  <w:num w:numId="4">
    <w:abstractNumId w:val="6"/>
  </w:num>
  <w:num w:numId="5">
    <w:abstractNumId w:val="2"/>
  </w:num>
  <w:num w:numId="6">
    <w:abstractNumId w:val="2"/>
  </w:num>
  <w:num w:numId="7">
    <w:abstractNumId w:val="1"/>
  </w:num>
  <w:num w:numId="8">
    <w:abstractNumId w:val="1"/>
  </w:num>
  <w:num w:numId="9">
    <w:abstractNumId w:val="0"/>
  </w:num>
  <w:num w:numId="10">
    <w:abstractNumId w:val="0"/>
  </w:num>
  <w:num w:numId="11">
    <w:abstractNumId w:val="9"/>
  </w:num>
  <w:num w:numId="12">
    <w:abstractNumId w:val="6"/>
  </w:num>
  <w:num w:numId="13">
    <w:abstractNumId w:val="2"/>
  </w:num>
  <w:num w:numId="14">
    <w:abstractNumId w:val="1"/>
  </w:num>
  <w:num w:numId="15">
    <w:abstractNumId w:val="0"/>
  </w:num>
  <w:num w:numId="16">
    <w:abstractNumId w:val="9"/>
  </w:num>
  <w:num w:numId="17">
    <w:abstractNumId w:val="6"/>
  </w:num>
  <w:num w:numId="18">
    <w:abstractNumId w:val="2"/>
  </w:num>
  <w:num w:numId="19">
    <w:abstractNumId w:val="1"/>
  </w:num>
  <w:num w:numId="20">
    <w:abstractNumId w:val="0"/>
  </w:num>
  <w:num w:numId="21">
    <w:abstractNumId w:val="9"/>
  </w:num>
  <w:num w:numId="22">
    <w:abstractNumId w:val="6"/>
  </w:num>
  <w:num w:numId="23">
    <w:abstractNumId w:val="2"/>
  </w:num>
  <w:num w:numId="24">
    <w:abstractNumId w:val="1"/>
  </w:num>
  <w:num w:numId="25">
    <w:abstractNumId w:val="0"/>
  </w:num>
  <w:num w:numId="26">
    <w:abstractNumId w:val="9"/>
  </w:num>
  <w:num w:numId="27">
    <w:abstractNumId w:val="6"/>
  </w:num>
  <w:num w:numId="28">
    <w:abstractNumId w:val="2"/>
  </w:num>
  <w:num w:numId="29">
    <w:abstractNumId w:val="1"/>
  </w:num>
  <w:num w:numId="30">
    <w:abstractNumId w:val="0"/>
  </w:num>
  <w:num w:numId="31">
    <w:abstractNumId w:val="5"/>
  </w:num>
  <w:num w:numId="32">
    <w:abstractNumId w:val="12"/>
  </w:num>
  <w:num w:numId="33">
    <w:abstractNumId w:val="8"/>
  </w:num>
  <w:num w:numId="34">
    <w:abstractNumId w:val="11"/>
  </w:num>
  <w:num w:numId="35">
    <w:abstractNumId w:val="7"/>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9702E6"/>
    <w:rsid w:val="00150861"/>
    <w:rsid w:val="001631BF"/>
    <w:rsid w:val="002155B6"/>
    <w:rsid w:val="00336CD0"/>
    <w:rsid w:val="0041163E"/>
    <w:rsid w:val="00425B6F"/>
    <w:rsid w:val="00472DDE"/>
    <w:rsid w:val="004978CE"/>
    <w:rsid w:val="00562662"/>
    <w:rsid w:val="00570771"/>
    <w:rsid w:val="00573644"/>
    <w:rsid w:val="005B0ABF"/>
    <w:rsid w:val="005F44A3"/>
    <w:rsid w:val="005F6EBB"/>
    <w:rsid w:val="006375C0"/>
    <w:rsid w:val="00643E50"/>
    <w:rsid w:val="00721796"/>
    <w:rsid w:val="00736B52"/>
    <w:rsid w:val="00743223"/>
    <w:rsid w:val="007625F3"/>
    <w:rsid w:val="007D1808"/>
    <w:rsid w:val="00806942"/>
    <w:rsid w:val="008109C8"/>
    <w:rsid w:val="0083614D"/>
    <w:rsid w:val="008401AF"/>
    <w:rsid w:val="00844036"/>
    <w:rsid w:val="00937F4D"/>
    <w:rsid w:val="009702E6"/>
    <w:rsid w:val="009F0DF1"/>
    <w:rsid w:val="00A3362E"/>
    <w:rsid w:val="00A4049C"/>
    <w:rsid w:val="00B85039"/>
    <w:rsid w:val="00B930FF"/>
    <w:rsid w:val="00B93D58"/>
    <w:rsid w:val="00C1061F"/>
    <w:rsid w:val="00C56D91"/>
    <w:rsid w:val="00CA7BAD"/>
    <w:rsid w:val="00D03298"/>
    <w:rsid w:val="00D435A5"/>
    <w:rsid w:val="00D95B2C"/>
    <w:rsid w:val="00E156FE"/>
    <w:rsid w:val="00E61268"/>
    <w:rsid w:val="00ED6F09"/>
    <w:rsid w:val="00F60C3F"/>
    <w:rsid w:val="00F804D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semiHidden/>
    <w:unhideWhenUsed/>
    <w:rsid w:val="005F44A3"/>
    <w:pPr>
      <w:tabs>
        <w:tab w:val="center" w:pos="4536"/>
        <w:tab w:val="right" w:pos="9072"/>
      </w:tabs>
    </w:pPr>
  </w:style>
  <w:style w:type="character" w:customStyle="1" w:styleId="KopfzeileZchn">
    <w:name w:val="Kopfzeile Zchn"/>
    <w:basedOn w:val="Absatz-Standardschriftart"/>
    <w:link w:val="Kopfzeile"/>
    <w:uiPriority w:val="99"/>
    <w:semiHidden/>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character" w:styleId="Hyperlink">
    <w:name w:val="Hyperlink"/>
    <w:basedOn w:val="Absatz-Standardschriftart"/>
    <w:uiPriority w:val="99"/>
    <w:unhideWhenUsed/>
    <w:rsid w:val="0080694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atanr\Desktop\Fachkonzept%20bFM.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Fachkonzept bFM</Template>
  <TotalTime>0</TotalTime>
  <Pages>8</Pages>
  <Words>1540</Words>
  <Characters>9704</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11222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KoseB</cp:lastModifiedBy>
  <cp:revision>8</cp:revision>
  <cp:lastPrinted>2012-03-20T08:10:00Z</cp:lastPrinted>
  <dcterms:created xsi:type="dcterms:W3CDTF">2012-03-05T11:50:00Z</dcterms:created>
  <dcterms:modified xsi:type="dcterms:W3CDTF">2012-03-20T08:10:00Z</dcterms:modified>
</cp:coreProperties>
</file>