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06" w:type="dxa"/>
        <w:jc w:val="center"/>
        <w:tblBorders>
          <w:insideV w:val="single" w:sz="36" w:space="0" w:color="FFFFFF"/>
        </w:tblBorders>
        <w:tblLayout w:type="fixed"/>
        <w:tblLook w:val="01E0"/>
      </w:tblPr>
      <w:tblGrid>
        <w:gridCol w:w="7836"/>
        <w:gridCol w:w="2470"/>
      </w:tblGrid>
      <w:tr w:rsidR="00D95B2C" w:rsidTr="00C56D91">
        <w:trPr>
          <w:trHeight w:hRule="exact" w:val="2453"/>
          <w:jc w:val="center"/>
        </w:trPr>
        <w:tc>
          <w:tcPr>
            <w:tcW w:w="7836" w:type="dxa"/>
            <w:tcBorders>
              <w:top w:val="nil"/>
              <w:left w:val="nil"/>
              <w:bottom w:val="nil"/>
              <w:right w:val="single" w:sz="24" w:space="0" w:color="FFFFFF"/>
            </w:tcBorders>
            <w:shd w:val="clear" w:color="auto" w:fill="008A50"/>
            <w:tcMar>
              <w:top w:w="0" w:type="dxa"/>
              <w:left w:w="0" w:type="dxa"/>
              <w:bottom w:w="0" w:type="dxa"/>
              <w:right w:w="0" w:type="dxa"/>
            </w:tcMar>
          </w:tcPr>
          <w:p w:rsidR="00D95B2C" w:rsidRDefault="00953BC5">
            <w:pPr>
              <w:spacing w:before="567" w:after="284"/>
              <w:ind w:left="567"/>
              <w:rPr>
                <w:color w:val="FFFFFF"/>
                <w:sz w:val="46"/>
                <w:szCs w:val="46"/>
              </w:rPr>
            </w:pPr>
            <w:bookmarkStart w:id="0" w:name="_top"/>
            <w:bookmarkEnd w:id="0"/>
            <w:r>
              <w:rPr>
                <w:color w:val="FFFFFF"/>
                <w:sz w:val="46"/>
                <w:szCs w:val="46"/>
              </w:rPr>
              <w:t>Fachkonzept</w:t>
            </w:r>
            <w:r w:rsidR="00D95B2C">
              <w:rPr>
                <w:color w:val="FFFFFF"/>
                <w:sz w:val="46"/>
                <w:szCs w:val="46"/>
              </w:rPr>
              <w:t xml:space="preserve"> </w:t>
            </w:r>
            <w:bookmarkStart w:id="1" w:name="txtTischoderBericht"/>
          </w:p>
          <w:p w:rsidR="00D95B2C" w:rsidRDefault="00953BC5" w:rsidP="00953BC5">
            <w:pPr>
              <w:spacing w:before="567" w:after="284"/>
              <w:ind w:left="567"/>
              <w:rPr>
                <w:sz w:val="28"/>
                <w:szCs w:val="28"/>
                <w:highlight w:val="darkGreen"/>
              </w:rPr>
            </w:pPr>
            <w:r>
              <w:rPr>
                <w:color w:val="FFFFFF"/>
                <w:sz w:val="28"/>
                <w:szCs w:val="28"/>
              </w:rPr>
              <w:t>Absolventenmanagemen</w:t>
            </w:r>
            <w:bookmarkEnd w:id="1"/>
            <w:r>
              <w:rPr>
                <w:color w:val="FFFFFF"/>
                <w:sz w:val="28"/>
                <w:szCs w:val="28"/>
              </w:rPr>
              <w:t>t</w:t>
            </w:r>
          </w:p>
          <w:p w:rsidR="00D95B2C" w:rsidRDefault="00D95B2C">
            <w:pPr>
              <w:rPr>
                <w:sz w:val="28"/>
                <w:szCs w:val="28"/>
                <w:highlight w:val="darkGreen"/>
              </w:rPr>
            </w:pPr>
          </w:p>
        </w:tc>
        <w:bookmarkStart w:id="2" w:name="txtKleinesBild"/>
        <w:tc>
          <w:tcPr>
            <w:tcW w:w="2470" w:type="dxa"/>
            <w:tcBorders>
              <w:top w:val="nil"/>
              <w:left w:val="single" w:sz="24" w:space="0" w:color="FFFFFF"/>
              <w:bottom w:val="nil"/>
              <w:right w:val="nil"/>
            </w:tcBorders>
            <w:shd w:val="clear" w:color="auto" w:fill="008A50"/>
            <w:tcMar>
              <w:top w:w="0" w:type="dxa"/>
              <w:left w:w="0" w:type="dxa"/>
              <w:bottom w:w="0" w:type="dxa"/>
              <w:right w:w="0" w:type="dxa"/>
            </w:tcMar>
            <w:hideMark/>
          </w:tcPr>
          <w:p w:rsidR="00D95B2C" w:rsidRDefault="00D95B2C">
            <w:r w:rsidRPr="00B93D58">
              <w:object w:dxaOrig="5204" w:dyaOrig="5249">
                <v:shape id="_x0000_i1025" type="#_x0000_t75" style="width:123pt;height:124.5pt" o:ole="">
                  <v:imagedata r:id="rId7" o:title=""/>
                </v:shape>
                <o:OLEObject Type="Embed" ProgID="MSPhotoEd.3" ShapeID="_x0000_i1025" DrawAspect="Content" ObjectID="_1397285466" r:id="rId8"/>
              </w:object>
            </w:r>
            <w:bookmarkEnd w:id="2"/>
          </w:p>
        </w:tc>
      </w:tr>
      <w:tr w:rsidR="00D95B2C"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D95B2C" w:rsidRDefault="00953BC5" w:rsidP="00953BC5">
            <w:pPr>
              <w:pStyle w:val="Vers-weiss"/>
              <w:ind w:left="0"/>
              <w:rPr>
                <w:highlight w:val="darkGreen"/>
              </w:rPr>
            </w:pPr>
            <w:bookmarkStart w:id="3" w:name="txtDatGz"/>
            <w:r>
              <w:t>Gültig ab</w:t>
            </w:r>
            <w:r w:rsidR="00DE6D18">
              <w:t xml:space="preserve"> </w:t>
            </w:r>
            <w:r>
              <w:t xml:space="preserve"> 01.01.2012</w:t>
            </w:r>
            <w:bookmarkEnd w:id="3"/>
          </w:p>
        </w:tc>
        <w:tc>
          <w:tcPr>
            <w:tcW w:w="2470" w:type="dxa"/>
            <w:tcBorders>
              <w:top w:val="nil"/>
              <w:left w:val="single" w:sz="24" w:space="0" w:color="FFFFFF"/>
              <w:bottom w:val="nil"/>
              <w:right w:val="nil"/>
            </w:tcBorders>
            <w:shd w:val="clear" w:color="auto" w:fill="008A50"/>
            <w:vAlign w:val="center"/>
            <w:hideMark/>
          </w:tcPr>
          <w:p w:rsidR="00D95B2C" w:rsidRDefault="00D95B2C">
            <w:pPr>
              <w:pStyle w:val="Vers-weiss"/>
            </w:pPr>
            <w:bookmarkStart w:id="4" w:name="txtIntExt"/>
            <w:r>
              <w:t>INTERN</w:t>
            </w:r>
            <w:bookmarkEnd w:id="4"/>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953BC5" w:rsidP="00C56D91">
            <w:pPr>
              <w:pStyle w:val="Vers-weiss"/>
              <w:ind w:left="0"/>
            </w:pPr>
            <w:r>
              <w:t>Gültig bis 31.12.2013</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953BC5" w:rsidP="00C56D91">
            <w:pPr>
              <w:pStyle w:val="Vers-weiss"/>
              <w:ind w:left="0"/>
            </w:pPr>
            <w:r>
              <w:t>Geschäftszeichen: II-1203.8.1</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D95B2C" w:rsidRPr="00C56D91" w:rsidTr="00C56D91">
        <w:trPr>
          <w:trHeight w:val="9805"/>
          <w:jc w:val="center"/>
        </w:trPr>
        <w:tc>
          <w:tcPr>
            <w:tcW w:w="10306" w:type="dxa"/>
            <w:gridSpan w:val="2"/>
            <w:tcMar>
              <w:top w:w="0" w:type="dxa"/>
              <w:left w:w="0" w:type="dxa"/>
              <w:bottom w:w="0" w:type="dxa"/>
              <w:right w:w="0" w:type="dxa"/>
            </w:tcMar>
          </w:tcPr>
          <w:p w:rsidR="00D95B2C" w:rsidRPr="00C56D91" w:rsidRDefault="00C56D91">
            <w:r>
              <w:rPr>
                <w:noProof/>
                <w:sz w:val="22"/>
              </w:rPr>
              <w:drawing>
                <wp:inline distT="0" distB="0" distL="0" distR="0">
                  <wp:extent cx="6534150" cy="5810250"/>
                  <wp:effectExtent l="19050" t="0" r="0" b="0"/>
                  <wp:docPr id="1" name="Grafik 0" descr="JC_OS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C_OSL.JPG"/>
                          <pic:cNvPicPr/>
                        </pic:nvPicPr>
                        <pic:blipFill>
                          <a:blip r:embed="rId9" cstate="print"/>
                          <a:stretch>
                            <a:fillRect/>
                          </a:stretch>
                        </pic:blipFill>
                        <pic:spPr>
                          <a:xfrm>
                            <a:off x="0" y="0"/>
                            <a:ext cx="6534150" cy="5810250"/>
                          </a:xfrm>
                          <a:prstGeom prst="rect">
                            <a:avLst/>
                          </a:prstGeom>
                        </pic:spPr>
                      </pic:pic>
                    </a:graphicData>
                  </a:graphic>
                </wp:inline>
              </w:drawing>
            </w:r>
          </w:p>
          <w:p w:rsidR="00D95B2C" w:rsidRPr="00C56D91" w:rsidRDefault="00D95B2C"/>
          <w:p w:rsidR="00D95B2C" w:rsidRPr="00C56D91" w:rsidRDefault="00091C6B" w:rsidP="00C56D91">
            <w:r w:rsidRPr="00091C6B">
              <w:rPr>
                <w:noProof/>
                <w:sz w:val="22"/>
              </w:rPr>
              <w:pict>
                <v:rect id="_x0000_s1028" style="position:absolute;margin-left:128.4pt;margin-top:7.35pt;width:386.25pt;height:7.15pt;z-index:251658240" fillcolor="#008a50" strokecolor="#008a50"/>
              </w:pict>
            </w:r>
            <w:r w:rsidR="00D95B2C" w:rsidRPr="00C56D91">
              <w:rPr>
                <w:noProof/>
                <w:sz w:val="22"/>
              </w:rPr>
              <w:drawing>
                <wp:inline distT="0" distB="0" distL="0" distR="0">
                  <wp:extent cx="1504950" cy="304800"/>
                  <wp:effectExtent l="19050" t="0" r="0" b="0"/>
                  <wp:docPr id="3" name="Bild 1" descr="035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03506.wmf"/>
                          <pic:cNvPicPr>
                            <a:picLocks noChangeAspect="1" noChangeArrowheads="1"/>
                          </pic:cNvPicPr>
                        </pic:nvPicPr>
                        <pic:blipFill>
                          <a:blip r:embed="rId10" cstate="print"/>
                          <a:srcRect/>
                          <a:stretch>
                            <a:fillRect/>
                          </a:stretch>
                        </pic:blipFill>
                        <pic:spPr bwMode="auto">
                          <a:xfrm>
                            <a:off x="0" y="0"/>
                            <a:ext cx="1504950" cy="304800"/>
                          </a:xfrm>
                          <a:prstGeom prst="rect">
                            <a:avLst/>
                          </a:prstGeom>
                          <a:noFill/>
                          <a:ln w="9525">
                            <a:noFill/>
                            <a:miter lim="800000"/>
                            <a:headEnd/>
                            <a:tailEnd/>
                          </a:ln>
                        </pic:spPr>
                      </pic:pic>
                    </a:graphicData>
                  </a:graphic>
                </wp:inline>
              </w:drawing>
            </w:r>
          </w:p>
        </w:tc>
      </w:tr>
    </w:tbl>
    <w:p w:rsidR="005F6EBB" w:rsidRDefault="005F6EBB" w:rsidP="00472DDE">
      <w:pPr>
        <w:pStyle w:val="Listenabsatz"/>
        <w:ind w:left="0"/>
        <w:contextualSpacing w:val="0"/>
      </w:pPr>
    </w:p>
    <w:tbl>
      <w:tblPr>
        <w:tblW w:w="9852" w:type="dxa"/>
        <w:tblLayout w:type="fixed"/>
        <w:tblCellMar>
          <w:left w:w="70" w:type="dxa"/>
          <w:right w:w="70" w:type="dxa"/>
        </w:tblCellMar>
        <w:tblLook w:val="0000"/>
      </w:tblPr>
      <w:tblGrid>
        <w:gridCol w:w="9852"/>
      </w:tblGrid>
      <w:tr w:rsidR="00953BC5" w:rsidTr="003A008A">
        <w:trPr>
          <w:cantSplit/>
          <w:trHeight w:val="570"/>
        </w:trPr>
        <w:tc>
          <w:tcPr>
            <w:tcW w:w="9852" w:type="dxa"/>
          </w:tcPr>
          <w:p w:rsidR="00953BC5" w:rsidRPr="00E86EF4" w:rsidRDefault="00953BC5" w:rsidP="00411251">
            <w:pPr>
              <w:pStyle w:val="Listenabsatz"/>
              <w:ind w:left="0"/>
              <w:contextualSpacing w:val="0"/>
              <w:rPr>
                <w:sz w:val="24"/>
                <w:szCs w:val="24"/>
              </w:rPr>
            </w:pPr>
            <w:r w:rsidRPr="00E86EF4">
              <w:rPr>
                <w:b/>
                <w:sz w:val="24"/>
                <w:szCs w:val="24"/>
              </w:rPr>
              <w:lastRenderedPageBreak/>
              <w:t>Absolventenmanagement</w:t>
            </w:r>
            <w:r>
              <w:rPr>
                <w:b/>
                <w:sz w:val="24"/>
                <w:szCs w:val="24"/>
              </w:rPr>
              <w:t xml:space="preserve"> </w:t>
            </w:r>
            <w:r w:rsidRPr="00E86EF4">
              <w:rPr>
                <w:b/>
                <w:sz w:val="24"/>
                <w:szCs w:val="24"/>
              </w:rPr>
              <w:t xml:space="preserve"> </w:t>
            </w:r>
            <w:r>
              <w:rPr>
                <w:b/>
                <w:sz w:val="24"/>
                <w:szCs w:val="24"/>
              </w:rPr>
              <w:t xml:space="preserve">bei Maßnahmen der aktiven Arbeitsmarktpolitik </w:t>
            </w:r>
            <w:r w:rsidRPr="00E86EF4">
              <w:rPr>
                <w:b/>
                <w:sz w:val="24"/>
                <w:szCs w:val="24"/>
              </w:rPr>
              <w:t xml:space="preserve">im Jobcenter Oberspreewald –Lausitz </w:t>
            </w:r>
          </w:p>
        </w:tc>
      </w:tr>
    </w:tbl>
    <w:p w:rsidR="00953BC5" w:rsidRDefault="00953BC5" w:rsidP="00953BC5">
      <w:pPr>
        <w:pStyle w:val="Listenabsatz"/>
        <w:ind w:left="0"/>
        <w:contextualSpacing w:val="0"/>
      </w:pPr>
      <w:r>
        <w:rPr>
          <w:b/>
        </w:rPr>
        <w:t xml:space="preserve"> </w:t>
      </w:r>
    </w:p>
    <w:p w:rsidR="00953BC5" w:rsidRPr="00E86EF4" w:rsidRDefault="00953BC5" w:rsidP="00953BC5">
      <w:pPr>
        <w:pStyle w:val="Listenabsatz"/>
        <w:numPr>
          <w:ilvl w:val="0"/>
          <w:numId w:val="32"/>
        </w:numPr>
        <w:contextualSpacing w:val="0"/>
        <w:rPr>
          <w:b/>
        </w:rPr>
      </w:pPr>
      <w:r w:rsidRPr="00E86EF4">
        <w:rPr>
          <w:b/>
        </w:rPr>
        <w:t>Ziel</w:t>
      </w:r>
    </w:p>
    <w:p w:rsidR="00953BC5" w:rsidRDefault="00953BC5" w:rsidP="00953BC5">
      <w:pPr>
        <w:pStyle w:val="Listenabsatz"/>
        <w:ind w:left="0"/>
        <w:contextualSpacing w:val="0"/>
      </w:pPr>
    </w:p>
    <w:p w:rsidR="00953BC5" w:rsidRDefault="00953BC5" w:rsidP="00953BC5">
      <w:pPr>
        <w:pStyle w:val="Listenabsatz"/>
        <w:ind w:left="0"/>
        <w:contextualSpacing w:val="0"/>
      </w:pPr>
      <w:r>
        <w:t xml:space="preserve">Absolventen einer geförderten Integrationsmaßnahme, insbesondere bei beruflicher Qualifikation, sind bereits vor deren Ende konsequent zu unterstützen und zu beraten. Damit wird sichergestellt, dass die ausgewählte Fördermaßnahme zu einer nachhaltigen Integration in den ersten Arbeitsmarkt führt. Durch das </w:t>
      </w:r>
      <w:r w:rsidR="00411251">
        <w:t>Absolventenmanagements</w:t>
      </w:r>
      <w:r>
        <w:t xml:space="preserve"> soll die Integrationswirkung der durchgeführten Maßnahmen einen hohen Grad erzielen und die effiziente Mittelverwendung gewährleistet sein. </w:t>
      </w:r>
    </w:p>
    <w:p w:rsidR="00953BC5" w:rsidRDefault="00953BC5" w:rsidP="00953BC5">
      <w:pPr>
        <w:pStyle w:val="Listenabsatz"/>
        <w:ind w:left="0"/>
        <w:contextualSpacing w:val="0"/>
      </w:pPr>
      <w:r>
        <w:t xml:space="preserve">Die Ausrichtung des Einsatzes aller arbeitsmarktpolitischen Instrumente hat nach Erforderlichkeit, Passgenauigkeit, Erfolgssicherheit, Wirkung und Wirtschaftlichkeit und Bedarfslage des regionalen Arbeitsmarktes zu erfolgen. </w:t>
      </w:r>
    </w:p>
    <w:p w:rsidR="00953BC5" w:rsidRDefault="00953BC5" w:rsidP="00953BC5">
      <w:pPr>
        <w:pStyle w:val="Listenabsatz"/>
        <w:ind w:left="0"/>
        <w:contextualSpacing w:val="0"/>
      </w:pPr>
      <w:r>
        <w:t xml:space="preserve">Dieses Konzept beschreibt die Abläufe und Handlungsbedarfe zum Absolventenmanagement vor, während und nach einer FbW, MAG, MAT. </w:t>
      </w: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Pr="00E86EF4" w:rsidRDefault="00953BC5" w:rsidP="00953BC5">
      <w:pPr>
        <w:pStyle w:val="Listenabsatz"/>
        <w:numPr>
          <w:ilvl w:val="0"/>
          <w:numId w:val="32"/>
        </w:numPr>
        <w:contextualSpacing w:val="0"/>
        <w:rPr>
          <w:b/>
        </w:rPr>
      </w:pPr>
      <w:r w:rsidRPr="00E86EF4">
        <w:rPr>
          <w:b/>
        </w:rPr>
        <w:t>Aktivitäten</w:t>
      </w:r>
    </w:p>
    <w:p w:rsidR="00953BC5" w:rsidRDefault="00953BC5" w:rsidP="00953BC5">
      <w:pPr>
        <w:pStyle w:val="Listenabsatz"/>
        <w:ind w:left="0"/>
        <w:contextualSpacing w:val="0"/>
      </w:pPr>
    </w:p>
    <w:p w:rsidR="00953BC5" w:rsidRDefault="00953BC5" w:rsidP="00953BC5">
      <w:pPr>
        <w:pStyle w:val="Listenabsatz"/>
        <w:ind w:left="0"/>
        <w:contextualSpacing w:val="0"/>
      </w:pPr>
      <w:r>
        <w:t xml:space="preserve">Dem Vermittler obliegt die Verantwortung zur Steuerung des Integrationsprozesses. </w:t>
      </w:r>
    </w:p>
    <w:p w:rsidR="00953BC5" w:rsidRDefault="00953BC5" w:rsidP="00953BC5">
      <w:pPr>
        <w:pStyle w:val="Listenabsatz"/>
        <w:ind w:left="0"/>
        <w:contextualSpacing w:val="0"/>
      </w:pPr>
      <w:r>
        <w:t>Er muss mit dem Teilnehmer Kontakt halten, Vermittlungsbemühungen einfordern, diese begleiten und selbst initiieren. Gleichzeitig sollen damit die Voraussetzungen für einen kurzen- bzw. mittelfristigen Übergang in Beschäftigung sichergestellt werden.</w:t>
      </w:r>
    </w:p>
    <w:p w:rsidR="00953BC5" w:rsidRDefault="00953BC5" w:rsidP="00953BC5">
      <w:pPr>
        <w:pStyle w:val="Listenabsatz"/>
        <w:ind w:left="0"/>
        <w:contextualSpacing w:val="0"/>
      </w:pPr>
      <w:r>
        <w:t xml:space="preserve">Um zielführend zu arbeiten, muss der Vermittler, der Kunde und gegebenenfalls Dritte, an den Handlungen beteiligt werden. </w:t>
      </w:r>
    </w:p>
    <w:p w:rsidR="00953BC5" w:rsidRDefault="00953BC5" w:rsidP="00953BC5">
      <w:pPr>
        <w:pStyle w:val="Listenabsatz"/>
        <w:ind w:left="0"/>
        <w:contextualSpacing w:val="0"/>
      </w:pPr>
      <w:r>
        <w:t xml:space="preserve">Aus diesem Grund stellen die nachfolgend aufgeführten Aktivitäten einen Leitfaden dar, der Mindestkriterien enthält, Verantwortlichkeiten festlegt, notwendige Prozessschritte benennt und somit den reibungslosen Ablauf unter Ausnutzung aller Ressourcen sichern soll. </w:t>
      </w: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Pr="008A3DC8" w:rsidRDefault="00953BC5" w:rsidP="00953BC5">
      <w:pPr>
        <w:pStyle w:val="Listenabsatz"/>
        <w:numPr>
          <w:ilvl w:val="1"/>
          <w:numId w:val="32"/>
        </w:numPr>
        <w:contextualSpacing w:val="0"/>
        <w:rPr>
          <w:b/>
        </w:rPr>
      </w:pPr>
      <w:r w:rsidRPr="008A3DC8">
        <w:rPr>
          <w:b/>
        </w:rPr>
        <w:t>FbW</w:t>
      </w:r>
    </w:p>
    <w:p w:rsidR="00953BC5" w:rsidRDefault="00953BC5" w:rsidP="00953BC5">
      <w:pPr>
        <w:ind w:left="720"/>
      </w:pPr>
    </w:p>
    <w:p w:rsidR="00953BC5" w:rsidRDefault="00953BC5" w:rsidP="00953BC5">
      <w:pPr>
        <w:ind w:left="720"/>
      </w:pPr>
    </w:p>
    <w:p w:rsidR="00953BC5" w:rsidRPr="008A3DC8" w:rsidRDefault="00953BC5" w:rsidP="00953BC5">
      <w:pPr>
        <w:pStyle w:val="Listenabsatz"/>
        <w:ind w:left="0"/>
        <w:contextualSpacing w:val="0"/>
        <w:rPr>
          <w:u w:val="single"/>
        </w:rPr>
      </w:pPr>
      <w:r w:rsidRPr="008A3DC8">
        <w:rPr>
          <w:u w:val="single"/>
        </w:rPr>
        <w:t xml:space="preserve">Vor der Maßnahme  </w:t>
      </w:r>
    </w:p>
    <w:p w:rsidR="00953BC5" w:rsidRDefault="00953BC5" w:rsidP="00953BC5">
      <w:pPr>
        <w:pStyle w:val="Listenabsatz"/>
        <w:ind w:left="0"/>
        <w:contextualSpacing w:val="0"/>
      </w:pPr>
    </w:p>
    <w:p w:rsidR="00953BC5" w:rsidRDefault="00953BC5" w:rsidP="00953BC5">
      <w:pPr>
        <w:pStyle w:val="Listenabsatz"/>
        <w:ind w:left="0"/>
        <w:contextualSpacing w:val="0"/>
      </w:pPr>
      <w:r>
        <w:t xml:space="preserve">Verantwortlich AV </w:t>
      </w:r>
    </w:p>
    <w:p w:rsidR="00953BC5" w:rsidRDefault="00953BC5" w:rsidP="00953BC5">
      <w:pPr>
        <w:pStyle w:val="Listenabsatz"/>
        <w:ind w:left="0"/>
        <w:contextualSpacing w:val="0"/>
      </w:pPr>
    </w:p>
    <w:p w:rsidR="00953BC5" w:rsidRDefault="00953BC5" w:rsidP="00953BC5">
      <w:pPr>
        <w:pStyle w:val="Listenabsatz"/>
        <w:numPr>
          <w:ilvl w:val="0"/>
          <w:numId w:val="33"/>
        </w:numPr>
        <w:contextualSpacing w:val="0"/>
      </w:pPr>
      <w:r>
        <w:t xml:space="preserve">Dokumentation </w:t>
      </w:r>
      <w:r w:rsidRPr="008A3DC8">
        <w:t>der beruflichen Defizite in der jeweiligen Schlüsselgruppe und Feststellung des Qualifizierungsbedarfes</w:t>
      </w:r>
      <w:r>
        <w:t xml:space="preserve"> </w:t>
      </w:r>
      <w:r w:rsidRPr="008A3DC8">
        <w:t>Handlungsstrategie „berufliche Qualifikation“ realisieren und Handlungsstrategie „Absolventenmanagement“ festlegen</w:t>
      </w:r>
    </w:p>
    <w:p w:rsidR="00953BC5" w:rsidRDefault="00953BC5" w:rsidP="00953BC5">
      <w:pPr>
        <w:pStyle w:val="Listenabsatz"/>
        <w:numPr>
          <w:ilvl w:val="0"/>
          <w:numId w:val="33"/>
        </w:numPr>
        <w:contextualSpacing w:val="0"/>
      </w:pPr>
      <w:r w:rsidRPr="008A3DC8">
        <w:t>Fördercheck und Voranmeldung HHM</w:t>
      </w:r>
    </w:p>
    <w:p w:rsidR="00953BC5" w:rsidRDefault="00953BC5" w:rsidP="00953BC5">
      <w:pPr>
        <w:pStyle w:val="Listenabsatz"/>
        <w:numPr>
          <w:ilvl w:val="0"/>
          <w:numId w:val="33"/>
        </w:numPr>
        <w:contextualSpacing w:val="0"/>
      </w:pPr>
      <w:r w:rsidRPr="008A3DC8">
        <w:t>Ausgabe BGS</w:t>
      </w:r>
      <w:r>
        <w:t xml:space="preserve"> mit EV zum Einlösen BGS</w:t>
      </w:r>
      <w:r w:rsidRPr="008A3DC8">
        <w:t>, C</w:t>
      </w:r>
      <w:r>
        <w:t>OSACH</w:t>
      </w:r>
      <w:r w:rsidRPr="008A3DC8">
        <w:t xml:space="preserve"> Buchung</w:t>
      </w:r>
    </w:p>
    <w:p w:rsidR="00953BC5" w:rsidRDefault="00953BC5" w:rsidP="00953BC5">
      <w:pPr>
        <w:pStyle w:val="Listenabsatz"/>
        <w:numPr>
          <w:ilvl w:val="0"/>
          <w:numId w:val="33"/>
        </w:numPr>
        <w:autoSpaceDE w:val="0"/>
        <w:autoSpaceDN w:val="0"/>
        <w:adjustRightInd w:val="0"/>
        <w:contextualSpacing w:val="0"/>
      </w:pPr>
      <w:r>
        <w:t>Erstellung E</w:t>
      </w:r>
      <w:r w:rsidRPr="008A3DC8">
        <w:t>V</w:t>
      </w:r>
      <w:r>
        <w:t xml:space="preserve"> bei Einlösen BGS:  </w:t>
      </w:r>
    </w:p>
    <w:p w:rsidR="00953BC5" w:rsidRPr="008A3DC8" w:rsidRDefault="00953BC5" w:rsidP="00953BC5">
      <w:pPr>
        <w:pStyle w:val="Listenabsatz"/>
        <w:autoSpaceDE w:val="0"/>
        <w:autoSpaceDN w:val="0"/>
        <w:adjustRightInd w:val="0"/>
        <w:ind w:left="705"/>
        <w:contextualSpacing w:val="0"/>
      </w:pPr>
      <w:r w:rsidRPr="00B570CB">
        <w:t>Kunde:</w:t>
      </w:r>
      <w:r w:rsidRPr="008A3DC8">
        <w:t xml:space="preserve"> Verpflichtung zur Teilnahme </w:t>
      </w:r>
      <w:r>
        <w:t>unter Nennung konkreter Maßnahme, Beginn und Dauer)</w:t>
      </w:r>
      <w:r w:rsidRPr="008A3DC8">
        <w:t>und Mitwirkung, Rückmeldung bei</w:t>
      </w:r>
      <w:r>
        <w:t xml:space="preserve"> </w:t>
      </w:r>
      <w:r w:rsidRPr="008A3DC8">
        <w:t>Auffälligkeiten, EB, Aktualisierung BU, Reaktion auf VV, mögliche Erweiterung der Mobilität</w:t>
      </w:r>
    </w:p>
    <w:p w:rsidR="00953BC5" w:rsidRPr="008A3DC8" w:rsidRDefault="00953BC5" w:rsidP="00953BC5">
      <w:pPr>
        <w:autoSpaceDE w:val="0"/>
        <w:autoSpaceDN w:val="0"/>
        <w:adjustRightInd w:val="0"/>
        <w:ind w:left="675"/>
      </w:pPr>
      <w:r w:rsidRPr="00B570CB">
        <w:t>JC:</w:t>
      </w:r>
      <w:r w:rsidRPr="008A3DC8">
        <w:t xml:space="preserve"> Kostenübernahme, Vermittlung unter Berücksichtigung des</w:t>
      </w:r>
      <w:r>
        <w:t xml:space="preserve">  </w:t>
      </w:r>
      <w:r w:rsidRPr="008A3DC8">
        <w:t xml:space="preserve">Integrationszieles </w:t>
      </w:r>
    </w:p>
    <w:p w:rsidR="00953BC5" w:rsidRDefault="00953BC5" w:rsidP="00953BC5">
      <w:pPr>
        <w:pStyle w:val="Listenabsatz"/>
        <w:numPr>
          <w:ilvl w:val="0"/>
          <w:numId w:val="34"/>
        </w:numPr>
        <w:contextualSpacing w:val="0"/>
      </w:pPr>
      <w:r>
        <w:t>Setzen notwendiger Wiedervorlagen in VERBIS zur Einleitung Absolventenmanagement 3 Monate vor Maßnahmeende bei Maßnahmen über 6 Monaten Dauer, bei Maßnahmen unter 6 Monaten Dauer 1 Monat vor Maßnahmeende</w:t>
      </w: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rPr>
          <w:u w:val="single"/>
        </w:rPr>
      </w:pPr>
      <w:r w:rsidRPr="008A3DC8">
        <w:rPr>
          <w:u w:val="single"/>
        </w:rPr>
        <w:t>Während der Maßnahme</w:t>
      </w:r>
    </w:p>
    <w:p w:rsidR="00953BC5" w:rsidRPr="008A3DC8" w:rsidRDefault="00953BC5" w:rsidP="00953BC5">
      <w:pPr>
        <w:pStyle w:val="Listenabsatz"/>
        <w:ind w:left="0"/>
        <w:contextualSpacing w:val="0"/>
        <w:rPr>
          <w:u w:val="single"/>
        </w:rPr>
      </w:pPr>
    </w:p>
    <w:p w:rsidR="00953BC5" w:rsidRDefault="00953BC5" w:rsidP="00953BC5">
      <w:pPr>
        <w:pStyle w:val="Listenabsatz"/>
        <w:ind w:left="0"/>
        <w:contextualSpacing w:val="0"/>
      </w:pPr>
      <w:r>
        <w:t xml:space="preserve">Verantwortlich AV </w:t>
      </w:r>
    </w:p>
    <w:p w:rsidR="00953BC5" w:rsidRDefault="00953BC5" w:rsidP="00953BC5">
      <w:pPr>
        <w:pStyle w:val="Listenabsatz"/>
        <w:ind w:left="0"/>
        <w:contextualSpacing w:val="0"/>
      </w:pPr>
    </w:p>
    <w:p w:rsidR="00953BC5" w:rsidRDefault="00953BC5" w:rsidP="00953BC5">
      <w:pPr>
        <w:pStyle w:val="Listenabsatz"/>
        <w:numPr>
          <w:ilvl w:val="0"/>
          <w:numId w:val="34"/>
        </w:numPr>
        <w:contextualSpacing w:val="0"/>
      </w:pPr>
      <w:r>
        <w:t>Kontakt zum Kunden und/oder Träger bei Notwendigkeit halten / Maßnahmeerfolg beobachten / gegensteuern</w:t>
      </w:r>
    </w:p>
    <w:p w:rsidR="00953BC5" w:rsidRDefault="00953BC5" w:rsidP="00953BC5">
      <w:pPr>
        <w:pStyle w:val="Listenabsatz"/>
        <w:ind w:left="0"/>
        <w:contextualSpacing w:val="0"/>
      </w:pPr>
    </w:p>
    <w:p w:rsidR="00953BC5" w:rsidRDefault="00953BC5" w:rsidP="00953BC5">
      <w:pPr>
        <w:pStyle w:val="Listenabsatz"/>
        <w:ind w:left="0"/>
        <w:contextualSpacing w:val="0"/>
        <w:rPr>
          <w:u w:val="single"/>
        </w:rPr>
      </w:pPr>
      <w:r w:rsidRPr="008A3DC8">
        <w:rPr>
          <w:u w:val="single"/>
        </w:rPr>
        <w:t>3 Monate vor Ende der Maßnahme</w:t>
      </w:r>
    </w:p>
    <w:p w:rsidR="00953BC5" w:rsidRDefault="00953BC5" w:rsidP="00953BC5">
      <w:pPr>
        <w:pStyle w:val="Listenabsatz"/>
        <w:ind w:left="0"/>
        <w:contextualSpacing w:val="0"/>
        <w:rPr>
          <w:u w:val="single"/>
        </w:rPr>
      </w:pPr>
    </w:p>
    <w:p w:rsidR="00953BC5" w:rsidRPr="00633C5C" w:rsidRDefault="00953BC5" w:rsidP="00953BC5">
      <w:pPr>
        <w:pStyle w:val="Listenabsatz"/>
        <w:ind w:left="0"/>
        <w:contextualSpacing w:val="0"/>
      </w:pPr>
      <w:r w:rsidRPr="00633C5C">
        <w:t xml:space="preserve">Verantwortlich AV </w:t>
      </w:r>
    </w:p>
    <w:p w:rsidR="00953BC5" w:rsidRPr="008A3DC8" w:rsidRDefault="00953BC5" w:rsidP="00953BC5">
      <w:pPr>
        <w:pStyle w:val="Listenabsatz"/>
        <w:ind w:left="0"/>
        <w:contextualSpacing w:val="0"/>
        <w:rPr>
          <w:u w:val="single"/>
        </w:rPr>
      </w:pPr>
    </w:p>
    <w:p w:rsidR="00953BC5" w:rsidRPr="008A3DC8" w:rsidRDefault="00953BC5" w:rsidP="00953BC5">
      <w:pPr>
        <w:pStyle w:val="Listenabsatz"/>
        <w:numPr>
          <w:ilvl w:val="0"/>
          <w:numId w:val="34"/>
        </w:numPr>
        <w:contextualSpacing w:val="0"/>
      </w:pPr>
      <w:r w:rsidRPr="008A3DC8">
        <w:t>Kunden 2 bis 3 Monate</w:t>
      </w:r>
      <w:r>
        <w:t xml:space="preserve"> vor Ende der Maßnahme einladen,</w:t>
      </w:r>
      <w:r w:rsidRPr="008A3DC8">
        <w:t xml:space="preserve"> bei Maßnahmedauer von über 6 Monaten</w:t>
      </w:r>
      <w:r>
        <w:t xml:space="preserve"> (regionale Maßnahmen zwingend, überregionale Maßnahmen optional)</w:t>
      </w:r>
    </w:p>
    <w:p w:rsidR="00953BC5" w:rsidRPr="008A3DC8" w:rsidRDefault="00953BC5" w:rsidP="00953BC5">
      <w:pPr>
        <w:pStyle w:val="Listenabsatz"/>
        <w:numPr>
          <w:ilvl w:val="0"/>
          <w:numId w:val="34"/>
        </w:numPr>
        <w:contextualSpacing w:val="0"/>
      </w:pPr>
      <w:r w:rsidRPr="008A3DC8">
        <w:t>Nachhalten der alten EV und erstellen einer neuen EV unter Berücksichtigung des Integrationsplanes</w:t>
      </w:r>
      <w:r>
        <w:t>.</w:t>
      </w:r>
    </w:p>
    <w:p w:rsidR="00953BC5" w:rsidRPr="008A3DC8" w:rsidRDefault="00953BC5" w:rsidP="00953BC5">
      <w:pPr>
        <w:pStyle w:val="Listenabsatz"/>
        <w:numPr>
          <w:ilvl w:val="0"/>
          <w:numId w:val="34"/>
        </w:numPr>
        <w:autoSpaceDE w:val="0"/>
        <w:autoSpaceDN w:val="0"/>
        <w:adjustRightInd w:val="0"/>
        <w:contextualSpacing w:val="0"/>
      </w:pPr>
      <w:r w:rsidRPr="008A3DC8">
        <w:t>Aufarbeitung/Aktualisierung</w:t>
      </w:r>
      <w:r>
        <w:t xml:space="preserve"> </w:t>
      </w:r>
      <w:r w:rsidRPr="008A3DC8">
        <w:t>des Bewerberprofils (Stärken, Fähigkeiten, Fertigkeiten , Stellengesuch), Prüfung des Veröffentlichungsstatus</w:t>
      </w:r>
    </w:p>
    <w:p w:rsidR="00953BC5" w:rsidRDefault="00953BC5" w:rsidP="00953BC5">
      <w:pPr>
        <w:pStyle w:val="Listenabsatz"/>
        <w:numPr>
          <w:ilvl w:val="0"/>
          <w:numId w:val="34"/>
        </w:numPr>
        <w:contextualSpacing w:val="0"/>
      </w:pPr>
      <w:r w:rsidRPr="008A3DC8">
        <w:t>Intensiven SteA-Suchlauf vornehmen, möglichst VV unterbreiten (Standard</w:t>
      </w:r>
      <w:r>
        <w:t>: Absolventenmanagement</w:t>
      </w:r>
      <w:r w:rsidRPr="008A3DC8">
        <w:t xml:space="preserve"> erfüllt, wenn innerhalb 3 </w:t>
      </w:r>
      <w:r>
        <w:t xml:space="preserve">Monate vor Ende der Maßnahme </w:t>
      </w:r>
      <w:r w:rsidRPr="008A3DC8">
        <w:t xml:space="preserve"> </w:t>
      </w:r>
      <w:r>
        <w:t xml:space="preserve">neue </w:t>
      </w:r>
      <w:r w:rsidRPr="008A3DC8">
        <w:t>EV erstellt oder fortgeschrieben wurde</w:t>
      </w:r>
      <w:r>
        <w:t xml:space="preserve"> und ein VV unterbreitet wurde)</w:t>
      </w:r>
    </w:p>
    <w:p w:rsidR="00953BC5" w:rsidRPr="008A3DC8" w:rsidRDefault="00953BC5" w:rsidP="00953BC5">
      <w:pPr>
        <w:pStyle w:val="Listenabsatz"/>
        <w:numPr>
          <w:ilvl w:val="0"/>
          <w:numId w:val="34"/>
        </w:numPr>
        <w:contextualSpacing w:val="0"/>
      </w:pPr>
      <w:r w:rsidRPr="008A3DC8">
        <w:t>Einfordern von verstärkten EB in der EV festhalten</w:t>
      </w:r>
    </w:p>
    <w:p w:rsidR="00953BC5" w:rsidRPr="008A3DC8" w:rsidRDefault="00953BC5" w:rsidP="00953BC5">
      <w:pPr>
        <w:pStyle w:val="Listenabsatz"/>
        <w:numPr>
          <w:ilvl w:val="0"/>
          <w:numId w:val="34"/>
        </w:numPr>
        <w:contextualSpacing w:val="0"/>
      </w:pPr>
      <w:r w:rsidRPr="008A3DC8">
        <w:t>ggf. Anpassung der Profillage und Aktualisierung/Fortschreibung des Integrationsplanes</w:t>
      </w:r>
    </w:p>
    <w:p w:rsidR="00953BC5" w:rsidRPr="008A3DC8" w:rsidRDefault="00953BC5" w:rsidP="00953BC5">
      <w:pPr>
        <w:pStyle w:val="Listenabsatz"/>
        <w:ind w:left="0" w:firstLine="708"/>
        <w:contextualSpacing w:val="0"/>
      </w:pPr>
      <w:r w:rsidRPr="008A3DC8">
        <w:t>Einsatz Interner Kennung „ABSOLV“</w:t>
      </w:r>
    </w:p>
    <w:p w:rsidR="00953BC5" w:rsidRDefault="00953BC5" w:rsidP="00953BC5">
      <w:pPr>
        <w:pStyle w:val="Listenabsatz"/>
        <w:ind w:left="0"/>
        <w:contextualSpacing w:val="0"/>
      </w:pPr>
    </w:p>
    <w:p w:rsidR="00953BC5" w:rsidRDefault="00953BC5" w:rsidP="00953BC5">
      <w:pPr>
        <w:pStyle w:val="Listenabsatz"/>
        <w:ind w:left="0"/>
        <w:contextualSpacing w:val="0"/>
      </w:pPr>
      <w:r>
        <w:t>Verantwortlich EZ</w:t>
      </w:r>
    </w:p>
    <w:p w:rsidR="00953BC5" w:rsidRDefault="00953BC5" w:rsidP="00953BC5">
      <w:pPr>
        <w:pStyle w:val="Listenabsatz"/>
        <w:ind w:left="0"/>
        <w:contextualSpacing w:val="0"/>
      </w:pPr>
    </w:p>
    <w:p w:rsidR="00953BC5" w:rsidRDefault="00953BC5" w:rsidP="00953BC5">
      <w:pPr>
        <w:pStyle w:val="Listenabsatz"/>
        <w:numPr>
          <w:ilvl w:val="0"/>
          <w:numId w:val="35"/>
        </w:numPr>
        <w:contextualSpacing w:val="0"/>
      </w:pPr>
      <w:r>
        <w:t xml:space="preserve">Status alo setzen nach Beendigung der Maßnahme </w:t>
      </w:r>
    </w:p>
    <w:p w:rsidR="00953BC5" w:rsidRPr="008A3DC8" w:rsidRDefault="00953BC5" w:rsidP="00953BC5">
      <w:pPr>
        <w:pStyle w:val="Listenabsatz"/>
        <w:ind w:left="0"/>
        <w:contextualSpacing w:val="0"/>
      </w:pPr>
    </w:p>
    <w:p w:rsidR="00953BC5" w:rsidRDefault="00953BC5" w:rsidP="00953BC5">
      <w:pPr>
        <w:pStyle w:val="Listenabsatz"/>
        <w:ind w:left="0"/>
        <w:contextualSpacing w:val="0"/>
        <w:rPr>
          <w:u w:val="single"/>
        </w:rPr>
      </w:pPr>
      <w:r w:rsidRPr="00633C5C">
        <w:rPr>
          <w:u w:val="single"/>
        </w:rPr>
        <w:t>Nach der Maßnahme</w:t>
      </w:r>
    </w:p>
    <w:p w:rsidR="00953BC5" w:rsidRDefault="00953BC5" w:rsidP="00953BC5">
      <w:pPr>
        <w:pStyle w:val="Listenabsatz"/>
        <w:ind w:left="0"/>
        <w:contextualSpacing w:val="0"/>
        <w:rPr>
          <w:u w:val="single"/>
        </w:rPr>
      </w:pPr>
    </w:p>
    <w:p w:rsidR="00953BC5" w:rsidRPr="00633C5C" w:rsidRDefault="00953BC5" w:rsidP="00953BC5">
      <w:pPr>
        <w:pStyle w:val="Listenabsatz"/>
        <w:ind w:left="0"/>
        <w:contextualSpacing w:val="0"/>
      </w:pPr>
      <w:r w:rsidRPr="00633C5C">
        <w:t xml:space="preserve">Verantwortlich AV </w:t>
      </w:r>
    </w:p>
    <w:p w:rsidR="00953BC5" w:rsidRPr="008A3DC8" w:rsidRDefault="00953BC5" w:rsidP="00953BC5">
      <w:pPr>
        <w:pStyle w:val="Listenabsatz"/>
        <w:ind w:left="0"/>
        <w:contextualSpacing w:val="0"/>
      </w:pPr>
    </w:p>
    <w:p w:rsidR="00953BC5" w:rsidRPr="00CE2BD1" w:rsidRDefault="00953BC5" w:rsidP="00953BC5">
      <w:pPr>
        <w:pStyle w:val="Listenabsatz"/>
        <w:numPr>
          <w:ilvl w:val="0"/>
          <w:numId w:val="35"/>
        </w:numPr>
        <w:contextualSpacing w:val="0"/>
      </w:pPr>
      <w:r w:rsidRPr="00CE2BD1">
        <w:t>qualifiziertes Vermittlergespräch innerhalb von 1 Woche nach der Maßnahme</w:t>
      </w:r>
    </w:p>
    <w:p w:rsidR="00953BC5" w:rsidRPr="00CE2BD1" w:rsidRDefault="00953BC5" w:rsidP="00953BC5">
      <w:pPr>
        <w:pStyle w:val="Default"/>
        <w:numPr>
          <w:ilvl w:val="0"/>
          <w:numId w:val="35"/>
        </w:numPr>
        <w:rPr>
          <w:sz w:val="22"/>
          <w:szCs w:val="22"/>
        </w:rPr>
      </w:pPr>
      <w:r w:rsidRPr="00CE2BD1">
        <w:rPr>
          <w:sz w:val="22"/>
          <w:szCs w:val="22"/>
        </w:rPr>
        <w:t>sofern erforderlich, Aktualisierung des Bewerberangebots</w:t>
      </w:r>
      <w:r>
        <w:rPr>
          <w:sz w:val="22"/>
          <w:szCs w:val="22"/>
        </w:rPr>
        <w:t xml:space="preserve"> </w:t>
      </w:r>
      <w:r w:rsidRPr="00CE2BD1">
        <w:rPr>
          <w:sz w:val="22"/>
          <w:szCs w:val="22"/>
        </w:rPr>
        <w:t xml:space="preserve">(Stärken, Fähigkeiten, Fertigkeiten, Stellengesuch),Nachweise von Lizenzen, Zertifikaten einfordern, </w:t>
      </w:r>
    </w:p>
    <w:p w:rsidR="00953BC5" w:rsidRPr="00CE2BD1" w:rsidRDefault="00953BC5" w:rsidP="00953BC5">
      <w:pPr>
        <w:pStyle w:val="Default"/>
        <w:numPr>
          <w:ilvl w:val="0"/>
          <w:numId w:val="35"/>
        </w:numPr>
        <w:rPr>
          <w:sz w:val="22"/>
          <w:szCs w:val="22"/>
        </w:rPr>
      </w:pPr>
      <w:r>
        <w:rPr>
          <w:sz w:val="22"/>
          <w:szCs w:val="22"/>
        </w:rPr>
        <w:t>Anpassung Profillage unter Beachtung: n</w:t>
      </w:r>
      <w:r w:rsidRPr="00CE2BD1">
        <w:rPr>
          <w:sz w:val="22"/>
          <w:szCs w:val="22"/>
        </w:rPr>
        <w:t>ach absolvierter Förderung ist ein Kunde im Rahmen der Handlungsstrategie „Absolventenmanagement“ immer n</w:t>
      </w:r>
      <w:r>
        <w:rPr>
          <w:sz w:val="22"/>
          <w:szCs w:val="22"/>
        </w:rPr>
        <w:t>och als Förderprofil zu führen</w:t>
      </w:r>
    </w:p>
    <w:p w:rsidR="00953BC5" w:rsidRPr="008A3DC8" w:rsidRDefault="00953BC5" w:rsidP="00953BC5">
      <w:pPr>
        <w:pStyle w:val="Default"/>
        <w:numPr>
          <w:ilvl w:val="0"/>
          <w:numId w:val="35"/>
        </w:numPr>
        <w:rPr>
          <w:b/>
          <w:sz w:val="22"/>
          <w:szCs w:val="22"/>
        </w:rPr>
      </w:pPr>
      <w:r w:rsidRPr="00CE2BD1">
        <w:rPr>
          <w:sz w:val="22"/>
          <w:szCs w:val="22"/>
        </w:rPr>
        <w:t>Überprüfung der Suchstrategien,  intensiven SteA-Suchlauf vornehmen, möglichst VV unterbreiten , Kontaktdichte laut KKK mindestens alle 3 Monate Kontakt mit AV,</w:t>
      </w:r>
      <w:r w:rsidRPr="008A3DC8">
        <w:rPr>
          <w:sz w:val="22"/>
          <w:szCs w:val="22"/>
        </w:rPr>
        <w:t xml:space="preserve"> Eigenbemühungen</w:t>
      </w:r>
      <w:r>
        <w:rPr>
          <w:sz w:val="22"/>
          <w:szCs w:val="22"/>
        </w:rPr>
        <w:t xml:space="preserve"> einfordern, nachhalten</w:t>
      </w:r>
      <w:r w:rsidRPr="008A3DC8">
        <w:rPr>
          <w:sz w:val="22"/>
          <w:szCs w:val="22"/>
        </w:rPr>
        <w:t xml:space="preserve"> und Prüfung Einschaltung AGS, ZAV, Künstlervermittlung, zumutbare Mobilität überprüfen, =&gt; </w:t>
      </w:r>
      <w:r w:rsidRPr="008A3DC8">
        <w:rPr>
          <w:b/>
          <w:sz w:val="22"/>
          <w:szCs w:val="22"/>
        </w:rPr>
        <w:t>verstärkte Aktivierung</w:t>
      </w:r>
    </w:p>
    <w:p w:rsidR="00953BC5" w:rsidRPr="008A3DC8" w:rsidRDefault="00953BC5" w:rsidP="00953BC5">
      <w:pPr>
        <w:pStyle w:val="Default"/>
        <w:rPr>
          <w:sz w:val="22"/>
          <w:szCs w:val="22"/>
        </w:rPr>
      </w:pPr>
    </w:p>
    <w:p w:rsidR="00953BC5" w:rsidRDefault="00953BC5" w:rsidP="00953BC5">
      <w:pPr>
        <w:pStyle w:val="Default"/>
        <w:rPr>
          <w:sz w:val="22"/>
          <w:szCs w:val="22"/>
        </w:rPr>
      </w:pPr>
    </w:p>
    <w:p w:rsidR="00953BC5" w:rsidRDefault="00953BC5" w:rsidP="00953BC5">
      <w:pPr>
        <w:pStyle w:val="Listenabsatz"/>
        <w:ind w:left="0"/>
        <w:contextualSpacing w:val="0"/>
        <w:rPr>
          <w:u w:val="single"/>
        </w:rPr>
      </w:pPr>
      <w:r w:rsidRPr="00A94575">
        <w:rPr>
          <w:sz w:val="18"/>
          <w:szCs w:val="18"/>
        </w:rPr>
        <w:t xml:space="preserve"> </w:t>
      </w:r>
      <w:r w:rsidRPr="00CE2BD1">
        <w:rPr>
          <w:u w:val="single"/>
        </w:rPr>
        <w:t>Abbruch /Nichtantritt der Maßnahme</w:t>
      </w:r>
    </w:p>
    <w:p w:rsidR="00953BC5" w:rsidRDefault="00953BC5" w:rsidP="00953BC5">
      <w:pPr>
        <w:pStyle w:val="Listenabsatz"/>
        <w:ind w:left="0"/>
        <w:contextualSpacing w:val="0"/>
        <w:rPr>
          <w:u w:val="single"/>
        </w:rPr>
      </w:pPr>
    </w:p>
    <w:p w:rsidR="00953BC5" w:rsidRDefault="00953BC5" w:rsidP="00953BC5">
      <w:pPr>
        <w:pStyle w:val="Listenabsatz"/>
        <w:ind w:left="0"/>
        <w:contextualSpacing w:val="0"/>
      </w:pPr>
      <w:r w:rsidRPr="00CE2BD1">
        <w:t>Verantwortlich AV</w:t>
      </w:r>
    </w:p>
    <w:p w:rsidR="00953BC5" w:rsidRDefault="00953BC5" w:rsidP="00953BC5">
      <w:pPr>
        <w:pStyle w:val="Listenabsatz"/>
        <w:ind w:left="0"/>
        <w:contextualSpacing w:val="0"/>
      </w:pPr>
    </w:p>
    <w:p w:rsidR="00953BC5" w:rsidRDefault="00953BC5" w:rsidP="00953BC5">
      <w:pPr>
        <w:pStyle w:val="Listenabsatz"/>
        <w:numPr>
          <w:ilvl w:val="0"/>
          <w:numId w:val="36"/>
        </w:numPr>
        <w:contextualSpacing w:val="0"/>
      </w:pPr>
      <w:r>
        <w:t xml:space="preserve">Information an Team Integrationsleitungen zur Einstellung der Förderung </w:t>
      </w:r>
    </w:p>
    <w:p w:rsidR="00953BC5" w:rsidRDefault="00953BC5" w:rsidP="00953BC5">
      <w:pPr>
        <w:pStyle w:val="Listenabsatz"/>
        <w:numPr>
          <w:ilvl w:val="0"/>
          <w:numId w:val="36"/>
        </w:numPr>
        <w:contextualSpacing w:val="0"/>
      </w:pPr>
      <w:r>
        <w:t>Information an EZ zur Prüfung „Status“ des Kunden (alo/asu)</w:t>
      </w:r>
    </w:p>
    <w:p w:rsidR="00953BC5" w:rsidRDefault="00953BC5" w:rsidP="00953BC5">
      <w:pPr>
        <w:pStyle w:val="Listenabsatz"/>
        <w:numPr>
          <w:ilvl w:val="0"/>
          <w:numId w:val="36"/>
        </w:numPr>
        <w:contextualSpacing w:val="0"/>
      </w:pPr>
      <w:r>
        <w:t xml:space="preserve">Überprüfung der Gründe und Einleitung weiterer Handlungsbedarfe </w:t>
      </w:r>
    </w:p>
    <w:p w:rsidR="00953BC5" w:rsidRDefault="00953BC5" w:rsidP="00953BC5"/>
    <w:p w:rsidR="00953BC5" w:rsidRPr="00B570CB" w:rsidRDefault="00953BC5" w:rsidP="00953BC5">
      <w:pPr>
        <w:rPr>
          <w:u w:val="single"/>
        </w:rPr>
      </w:pPr>
    </w:p>
    <w:p w:rsidR="00953BC5" w:rsidRPr="00B570CB" w:rsidRDefault="00953BC5" w:rsidP="00953BC5">
      <w:pPr>
        <w:rPr>
          <w:u w:val="single"/>
        </w:rPr>
      </w:pPr>
      <w:r w:rsidRPr="00B570CB">
        <w:rPr>
          <w:u w:val="single"/>
        </w:rPr>
        <w:t>Controlling und Fachaufsicht</w:t>
      </w:r>
    </w:p>
    <w:p w:rsidR="00953BC5" w:rsidRPr="00CE2BD1" w:rsidRDefault="00953BC5" w:rsidP="00953BC5">
      <w:pPr>
        <w:pStyle w:val="Listenabsatz"/>
        <w:contextualSpacing w:val="0"/>
      </w:pPr>
    </w:p>
    <w:p w:rsidR="00953BC5" w:rsidRPr="000821F4" w:rsidRDefault="00411251" w:rsidP="00953BC5">
      <w:pPr>
        <w:pStyle w:val="Listenabsatz"/>
        <w:ind w:left="0"/>
        <w:contextualSpacing w:val="0"/>
        <w:rPr>
          <w:rFonts w:cs="Arial"/>
          <w:b/>
          <w:bCs/>
        </w:rPr>
      </w:pPr>
      <w:r>
        <w:rPr>
          <w:rFonts w:cs="Arial"/>
          <w:b/>
          <w:bCs/>
        </w:rPr>
        <w:t xml:space="preserve">Das </w:t>
      </w:r>
      <w:bookmarkStart w:id="5" w:name="Controlling"/>
      <w:r w:rsidRPr="00411251">
        <w:rPr>
          <w:rFonts w:cs="Arial"/>
          <w:b/>
          <w:bCs/>
          <w:u w:val="single"/>
        </w:rPr>
        <w:t>Controlling</w:t>
      </w:r>
      <w:bookmarkEnd w:id="5"/>
      <w:r>
        <w:rPr>
          <w:rFonts w:cs="Arial"/>
          <w:b/>
          <w:bCs/>
        </w:rPr>
        <w:t xml:space="preserve"> erfolgt monatlich über </w:t>
      </w:r>
      <w:r w:rsidR="000821F4" w:rsidRPr="000821F4">
        <w:rPr>
          <w:rFonts w:cs="Arial"/>
          <w:b/>
          <w:bCs/>
        </w:rPr>
        <w:t>DORA</w:t>
      </w:r>
      <w:r>
        <w:rPr>
          <w:rFonts w:cs="Arial"/>
          <w:b/>
          <w:bCs/>
        </w:rPr>
        <w:t>-Abfrage</w:t>
      </w:r>
      <w:r w:rsidR="000821F4" w:rsidRPr="000821F4">
        <w:rPr>
          <w:rFonts w:cs="Arial"/>
          <w:b/>
          <w:bCs/>
        </w:rPr>
        <w:t xml:space="preserve"> 204</w:t>
      </w:r>
    </w:p>
    <w:p w:rsidR="000821F4" w:rsidRPr="000821F4" w:rsidRDefault="00714F34" w:rsidP="00953BC5">
      <w:pPr>
        <w:pStyle w:val="Listenabsatz"/>
        <w:ind w:left="0"/>
        <w:contextualSpacing w:val="0"/>
        <w:rPr>
          <w:rFonts w:cs="Arial"/>
        </w:rPr>
      </w:pPr>
      <w:r>
        <w:rPr>
          <w:rFonts w:cs="Arial"/>
        </w:rPr>
        <w:t>(</w:t>
      </w:r>
      <w:r w:rsidR="000821F4" w:rsidRPr="000821F4">
        <w:rPr>
          <w:rFonts w:cs="Arial"/>
        </w:rPr>
        <w:t>Kunden ohne Integrationsaktivitäten i.S.d. Absolventenmanagements</w:t>
      </w:r>
      <w:r>
        <w:rPr>
          <w:rFonts w:cs="Arial"/>
        </w:rPr>
        <w:t>)</w:t>
      </w:r>
    </w:p>
    <w:p w:rsidR="000821F4" w:rsidRDefault="000821F4" w:rsidP="000821F4">
      <w:pPr>
        <w:autoSpaceDE w:val="0"/>
        <w:autoSpaceDN w:val="0"/>
        <w:adjustRightInd w:val="0"/>
        <w:rPr>
          <w:rFonts w:eastAsiaTheme="minorHAnsi" w:cs="Arial"/>
          <w:b/>
          <w:bCs/>
          <w:sz w:val="22"/>
          <w:szCs w:val="22"/>
          <w:lang w:eastAsia="en-US"/>
        </w:rPr>
      </w:pPr>
    </w:p>
    <w:p w:rsidR="000821F4" w:rsidRPr="000821F4" w:rsidRDefault="000821F4" w:rsidP="000821F4">
      <w:pPr>
        <w:autoSpaceDE w:val="0"/>
        <w:autoSpaceDN w:val="0"/>
        <w:adjustRightInd w:val="0"/>
        <w:rPr>
          <w:rFonts w:eastAsiaTheme="minorHAnsi" w:cs="Arial"/>
          <w:b/>
          <w:bCs/>
          <w:sz w:val="22"/>
          <w:szCs w:val="22"/>
          <w:lang w:eastAsia="en-US"/>
        </w:rPr>
      </w:pPr>
      <w:r w:rsidRPr="000821F4">
        <w:rPr>
          <w:rFonts w:eastAsiaTheme="minorHAnsi" w:cs="Arial"/>
          <w:b/>
          <w:bCs/>
          <w:sz w:val="22"/>
          <w:szCs w:val="22"/>
          <w:lang w:eastAsia="en-US"/>
        </w:rPr>
        <w:t>Zielsetzung und Definition</w:t>
      </w:r>
      <w:r w:rsidR="00411251">
        <w:rPr>
          <w:rFonts w:eastAsiaTheme="minorHAnsi" w:cs="Arial"/>
          <w:b/>
          <w:bCs/>
          <w:sz w:val="22"/>
          <w:szCs w:val="22"/>
          <w:lang w:eastAsia="en-US"/>
        </w:rPr>
        <w:t xml:space="preserve"> (Auszug aus der Abfragebeschreibung 204)</w:t>
      </w:r>
    </w:p>
    <w:p w:rsidR="000821F4" w:rsidRPr="000821F4" w:rsidRDefault="000821F4" w:rsidP="000821F4">
      <w:pPr>
        <w:autoSpaceDE w:val="0"/>
        <w:autoSpaceDN w:val="0"/>
        <w:adjustRightInd w:val="0"/>
        <w:ind w:left="708" w:firstLine="42"/>
        <w:rPr>
          <w:rFonts w:eastAsiaTheme="minorHAnsi" w:cs="Arial"/>
          <w:sz w:val="22"/>
          <w:szCs w:val="22"/>
          <w:lang w:eastAsia="en-US"/>
        </w:rPr>
      </w:pPr>
      <w:r w:rsidRPr="000821F4">
        <w:rPr>
          <w:rFonts w:eastAsiaTheme="minorHAnsi" w:cs="Arial"/>
          <w:sz w:val="22"/>
          <w:szCs w:val="22"/>
          <w:lang w:eastAsia="en-US"/>
        </w:rPr>
        <w:t>Das Absolventenmanagement stellt ein entscheidendes Element zur Sicherstellung des</w:t>
      </w:r>
      <w:r>
        <w:rPr>
          <w:rFonts w:eastAsiaTheme="minorHAnsi" w:cs="Arial"/>
          <w:sz w:val="22"/>
          <w:szCs w:val="22"/>
          <w:lang w:eastAsia="en-US"/>
        </w:rPr>
        <w:t xml:space="preserve"> </w:t>
      </w:r>
      <w:r w:rsidRPr="000821F4">
        <w:rPr>
          <w:rFonts w:eastAsiaTheme="minorHAnsi" w:cs="Arial"/>
          <w:sz w:val="22"/>
          <w:szCs w:val="22"/>
          <w:lang w:eastAsia="en-US"/>
        </w:rPr>
        <w:t>Integrationserfolges bei Maßnahmeteilnehmern dar. Finden bereits innerhalb des letzten</w:t>
      </w:r>
      <w:r>
        <w:rPr>
          <w:rFonts w:eastAsiaTheme="minorHAnsi" w:cs="Arial"/>
          <w:sz w:val="22"/>
          <w:szCs w:val="22"/>
          <w:lang w:eastAsia="en-US"/>
        </w:rPr>
        <w:tab/>
      </w:r>
      <w:r w:rsidRPr="000821F4">
        <w:rPr>
          <w:rFonts w:eastAsiaTheme="minorHAnsi" w:cs="Arial"/>
          <w:sz w:val="22"/>
          <w:szCs w:val="22"/>
          <w:lang w:eastAsia="en-US"/>
        </w:rPr>
        <w:t>Maßnahmeabschnittes (3 Monate vor Maßnahmeende) qualifizierte Kundenkontakte und</w:t>
      </w:r>
      <w:r>
        <w:rPr>
          <w:rFonts w:eastAsiaTheme="minorHAnsi" w:cs="Arial"/>
          <w:sz w:val="22"/>
          <w:szCs w:val="22"/>
          <w:lang w:eastAsia="en-US"/>
        </w:rPr>
        <w:t xml:space="preserve"> </w:t>
      </w:r>
      <w:r w:rsidRPr="000821F4">
        <w:rPr>
          <w:rFonts w:eastAsiaTheme="minorHAnsi" w:cs="Arial"/>
          <w:sz w:val="22"/>
          <w:szCs w:val="22"/>
          <w:lang w:eastAsia="en-US"/>
        </w:rPr>
        <w:t>Integrationsaktivitäten statt, erhöht dies die Chancen auf einen nahtlosen Übergang in Arbeit.</w:t>
      </w:r>
    </w:p>
    <w:p w:rsidR="000821F4" w:rsidRPr="000821F4" w:rsidRDefault="000821F4" w:rsidP="000821F4">
      <w:pPr>
        <w:autoSpaceDE w:val="0"/>
        <w:autoSpaceDN w:val="0"/>
        <w:adjustRightInd w:val="0"/>
        <w:ind w:left="708"/>
        <w:rPr>
          <w:rFonts w:eastAsiaTheme="minorHAnsi" w:cs="Arial"/>
          <w:sz w:val="22"/>
          <w:szCs w:val="22"/>
          <w:lang w:eastAsia="en-US"/>
        </w:rPr>
      </w:pPr>
      <w:r w:rsidRPr="000821F4">
        <w:rPr>
          <w:rFonts w:eastAsiaTheme="minorHAnsi" w:cs="Arial"/>
          <w:sz w:val="22"/>
          <w:szCs w:val="22"/>
          <w:lang w:eastAsia="en-US"/>
        </w:rPr>
        <w:t>Je nach Art und Umfang der Maßnahme ist das Absolventenmanagement mit unterschiedlicher</w:t>
      </w:r>
      <w:r>
        <w:rPr>
          <w:rFonts w:eastAsiaTheme="minorHAnsi" w:cs="Arial"/>
          <w:sz w:val="22"/>
          <w:szCs w:val="22"/>
          <w:lang w:eastAsia="en-US"/>
        </w:rPr>
        <w:t xml:space="preserve"> </w:t>
      </w:r>
      <w:r w:rsidRPr="000821F4">
        <w:rPr>
          <w:rFonts w:eastAsiaTheme="minorHAnsi" w:cs="Arial"/>
          <w:sz w:val="22"/>
          <w:szCs w:val="22"/>
          <w:lang w:eastAsia="en-US"/>
        </w:rPr>
        <w:t xml:space="preserve">Intensität durchzuführen. Maßnahmen mit hohem </w:t>
      </w:r>
      <w:proofErr w:type="spellStart"/>
      <w:r>
        <w:rPr>
          <w:rFonts w:eastAsiaTheme="minorHAnsi" w:cs="Arial"/>
          <w:sz w:val="22"/>
          <w:szCs w:val="22"/>
          <w:lang w:eastAsia="en-US"/>
        </w:rPr>
        <w:t>Q</w:t>
      </w:r>
      <w:r w:rsidRPr="000821F4">
        <w:rPr>
          <w:rFonts w:eastAsiaTheme="minorHAnsi" w:cs="Arial"/>
          <w:sz w:val="22"/>
          <w:szCs w:val="22"/>
          <w:lang w:eastAsia="en-US"/>
        </w:rPr>
        <w:t>alifizierungs</w:t>
      </w:r>
      <w:r>
        <w:rPr>
          <w:rFonts w:eastAsiaTheme="minorHAnsi" w:cs="Arial"/>
          <w:sz w:val="22"/>
          <w:szCs w:val="22"/>
          <w:lang w:eastAsia="en-US"/>
        </w:rPr>
        <w:t>-</w:t>
      </w:r>
      <w:r w:rsidRPr="000821F4">
        <w:rPr>
          <w:rFonts w:eastAsiaTheme="minorHAnsi" w:cs="Arial"/>
          <w:sz w:val="22"/>
          <w:szCs w:val="22"/>
          <w:lang w:eastAsia="en-US"/>
        </w:rPr>
        <w:t>anteil</w:t>
      </w:r>
      <w:proofErr w:type="spellEnd"/>
      <w:r w:rsidRPr="000821F4">
        <w:rPr>
          <w:rFonts w:eastAsiaTheme="minorHAnsi" w:cs="Arial"/>
          <w:sz w:val="22"/>
          <w:szCs w:val="22"/>
          <w:lang w:eastAsia="en-US"/>
        </w:rPr>
        <w:t>, hohem</w:t>
      </w:r>
      <w:r>
        <w:rPr>
          <w:rFonts w:eastAsiaTheme="minorHAnsi" w:cs="Arial"/>
          <w:sz w:val="22"/>
          <w:szCs w:val="22"/>
          <w:lang w:eastAsia="en-US"/>
        </w:rPr>
        <w:t xml:space="preserve"> </w:t>
      </w:r>
      <w:r w:rsidRPr="000821F4">
        <w:rPr>
          <w:rFonts w:eastAsiaTheme="minorHAnsi" w:cs="Arial"/>
          <w:sz w:val="22"/>
          <w:szCs w:val="22"/>
          <w:lang w:eastAsia="en-US"/>
        </w:rPr>
        <w:t>Integrationsbezug und hoher Kostenintensität bedürfen eines intensiven Absolventenmanagements.</w:t>
      </w:r>
    </w:p>
    <w:p w:rsidR="000821F4" w:rsidRPr="000821F4" w:rsidRDefault="000821F4" w:rsidP="000821F4">
      <w:pPr>
        <w:autoSpaceDE w:val="0"/>
        <w:autoSpaceDN w:val="0"/>
        <w:adjustRightInd w:val="0"/>
        <w:ind w:firstLine="708"/>
        <w:rPr>
          <w:rFonts w:eastAsiaTheme="minorHAnsi" w:cs="Arial"/>
          <w:sz w:val="22"/>
          <w:szCs w:val="22"/>
          <w:lang w:eastAsia="en-US"/>
        </w:rPr>
      </w:pPr>
      <w:r w:rsidRPr="000821F4">
        <w:rPr>
          <w:rFonts w:eastAsiaTheme="minorHAnsi" w:cs="Arial"/>
          <w:sz w:val="22"/>
          <w:szCs w:val="22"/>
          <w:lang w:eastAsia="en-US"/>
        </w:rPr>
        <w:t>Zu den Aktivitäten im Rahmen des Absolventenmanagements gehören dabei</w:t>
      </w:r>
    </w:p>
    <w:p w:rsidR="000821F4" w:rsidRPr="000821F4" w:rsidRDefault="000821F4" w:rsidP="000821F4">
      <w:pPr>
        <w:autoSpaceDE w:val="0"/>
        <w:autoSpaceDN w:val="0"/>
        <w:adjustRightInd w:val="0"/>
        <w:ind w:left="708"/>
        <w:rPr>
          <w:rFonts w:eastAsiaTheme="minorHAnsi" w:cs="Arial"/>
          <w:sz w:val="22"/>
          <w:szCs w:val="22"/>
          <w:lang w:eastAsia="en-US"/>
        </w:rPr>
      </w:pPr>
      <w:r w:rsidRPr="000821F4">
        <w:rPr>
          <w:rFonts w:eastAsiaTheme="minorHAnsi" w:cs="Arial"/>
          <w:sz w:val="22"/>
          <w:szCs w:val="22"/>
          <w:lang w:eastAsia="en-US"/>
        </w:rPr>
        <w:t>insbesondere die Aktualisierung der Eingliederungsvereinbarung sowie konkrete Vermittlungsbemühungen.</w:t>
      </w:r>
    </w:p>
    <w:p w:rsidR="000821F4" w:rsidRDefault="000821F4" w:rsidP="000821F4">
      <w:pPr>
        <w:autoSpaceDE w:val="0"/>
        <w:autoSpaceDN w:val="0"/>
        <w:adjustRightInd w:val="0"/>
        <w:ind w:left="708"/>
        <w:rPr>
          <w:rFonts w:eastAsiaTheme="minorHAnsi" w:cs="Arial"/>
          <w:sz w:val="22"/>
          <w:szCs w:val="22"/>
          <w:lang w:eastAsia="en-US"/>
        </w:rPr>
      </w:pPr>
    </w:p>
    <w:p w:rsidR="000821F4" w:rsidRPr="000821F4" w:rsidRDefault="000821F4" w:rsidP="000821F4">
      <w:pPr>
        <w:autoSpaceDE w:val="0"/>
        <w:autoSpaceDN w:val="0"/>
        <w:adjustRightInd w:val="0"/>
        <w:ind w:left="708"/>
        <w:rPr>
          <w:rFonts w:eastAsiaTheme="minorHAnsi" w:cs="Arial"/>
          <w:sz w:val="22"/>
          <w:szCs w:val="22"/>
          <w:lang w:eastAsia="en-US"/>
        </w:rPr>
      </w:pPr>
      <w:r w:rsidRPr="000821F4">
        <w:rPr>
          <w:rFonts w:eastAsiaTheme="minorHAnsi" w:cs="Arial"/>
          <w:sz w:val="22"/>
          <w:szCs w:val="22"/>
          <w:lang w:eastAsia="en-US"/>
        </w:rPr>
        <w:t xml:space="preserve">Die Auswertung ermöglicht </w:t>
      </w:r>
      <w:r>
        <w:rPr>
          <w:rFonts w:eastAsiaTheme="minorHAnsi" w:cs="Arial"/>
          <w:sz w:val="22"/>
          <w:szCs w:val="22"/>
          <w:lang w:eastAsia="en-US"/>
        </w:rPr>
        <w:t xml:space="preserve">es </w:t>
      </w:r>
      <w:r w:rsidRPr="000821F4">
        <w:rPr>
          <w:rFonts w:eastAsiaTheme="minorHAnsi" w:cs="Arial"/>
          <w:sz w:val="22"/>
          <w:szCs w:val="22"/>
          <w:lang w:eastAsia="en-US"/>
        </w:rPr>
        <w:t>de</w:t>
      </w:r>
      <w:r>
        <w:rPr>
          <w:rFonts w:eastAsiaTheme="minorHAnsi" w:cs="Arial"/>
          <w:sz w:val="22"/>
          <w:szCs w:val="22"/>
          <w:lang w:eastAsia="en-US"/>
        </w:rPr>
        <w:t>m</w:t>
      </w:r>
      <w:r w:rsidRPr="000821F4">
        <w:rPr>
          <w:rFonts w:eastAsiaTheme="minorHAnsi" w:cs="Arial"/>
          <w:sz w:val="22"/>
          <w:szCs w:val="22"/>
          <w:lang w:eastAsia="en-US"/>
        </w:rPr>
        <w:t xml:space="preserve"> Jobcenter</w:t>
      </w:r>
      <w:r>
        <w:rPr>
          <w:rFonts w:eastAsiaTheme="minorHAnsi" w:cs="Arial"/>
          <w:sz w:val="22"/>
          <w:szCs w:val="22"/>
          <w:lang w:eastAsia="en-US"/>
        </w:rPr>
        <w:t xml:space="preserve"> OSL</w:t>
      </w:r>
      <w:r w:rsidRPr="000821F4">
        <w:rPr>
          <w:rFonts w:eastAsiaTheme="minorHAnsi" w:cs="Arial"/>
          <w:sz w:val="22"/>
          <w:szCs w:val="22"/>
          <w:lang w:eastAsia="en-US"/>
        </w:rPr>
        <w:t>, Transparenz über den Prozess des</w:t>
      </w:r>
      <w:r>
        <w:rPr>
          <w:rFonts w:eastAsiaTheme="minorHAnsi" w:cs="Arial"/>
          <w:sz w:val="22"/>
          <w:szCs w:val="22"/>
          <w:lang w:eastAsia="en-US"/>
        </w:rPr>
        <w:t xml:space="preserve"> </w:t>
      </w:r>
      <w:r w:rsidRPr="000821F4">
        <w:rPr>
          <w:rFonts w:eastAsiaTheme="minorHAnsi" w:cs="Arial"/>
          <w:sz w:val="22"/>
          <w:szCs w:val="22"/>
          <w:lang w:eastAsia="en-US"/>
        </w:rPr>
        <w:t>Absolventenmanagements herzustellen und mögliche Verbesserungspotentiale zu</w:t>
      </w:r>
      <w:r>
        <w:rPr>
          <w:rFonts w:eastAsiaTheme="minorHAnsi" w:cs="Arial"/>
          <w:sz w:val="22"/>
          <w:szCs w:val="22"/>
          <w:lang w:eastAsia="en-US"/>
        </w:rPr>
        <w:t xml:space="preserve"> </w:t>
      </w:r>
      <w:r w:rsidRPr="000821F4">
        <w:rPr>
          <w:rFonts w:eastAsiaTheme="minorHAnsi" w:cs="Arial"/>
          <w:sz w:val="22"/>
          <w:szCs w:val="22"/>
          <w:lang w:eastAsia="en-US"/>
        </w:rPr>
        <w:t>identifizieren.</w:t>
      </w:r>
    </w:p>
    <w:p w:rsidR="000821F4" w:rsidRDefault="000821F4" w:rsidP="000821F4">
      <w:pPr>
        <w:autoSpaceDE w:val="0"/>
        <w:autoSpaceDN w:val="0"/>
        <w:adjustRightInd w:val="0"/>
        <w:ind w:left="708"/>
        <w:rPr>
          <w:rFonts w:eastAsiaTheme="minorHAnsi" w:cs="Arial"/>
          <w:sz w:val="22"/>
          <w:szCs w:val="22"/>
          <w:lang w:eastAsia="en-US"/>
        </w:rPr>
      </w:pPr>
      <w:r w:rsidRPr="000821F4">
        <w:rPr>
          <w:rFonts w:eastAsiaTheme="minorHAnsi" w:cs="Arial"/>
          <w:sz w:val="22"/>
          <w:szCs w:val="22"/>
          <w:lang w:eastAsia="en-US"/>
        </w:rPr>
        <w:t>Die Auswertung greift Maßnahmeteilnehmer ab, für die Integrationsaktivitäten im Sinne des</w:t>
      </w:r>
      <w:r>
        <w:rPr>
          <w:rFonts w:eastAsiaTheme="minorHAnsi" w:cs="Arial"/>
          <w:sz w:val="22"/>
          <w:szCs w:val="22"/>
          <w:lang w:eastAsia="en-US"/>
        </w:rPr>
        <w:t xml:space="preserve"> </w:t>
      </w:r>
      <w:r w:rsidRPr="000821F4">
        <w:rPr>
          <w:rFonts w:eastAsiaTheme="minorHAnsi" w:cs="Arial"/>
          <w:sz w:val="22"/>
          <w:szCs w:val="22"/>
          <w:lang w:eastAsia="en-US"/>
        </w:rPr>
        <w:t>Absolventenmanagements zum DORA-Stichtag noch nicht erfolgt sind.</w:t>
      </w:r>
    </w:p>
    <w:p w:rsidR="000821F4" w:rsidRPr="000821F4" w:rsidRDefault="000821F4" w:rsidP="000821F4">
      <w:pPr>
        <w:autoSpaceDE w:val="0"/>
        <w:autoSpaceDN w:val="0"/>
        <w:adjustRightInd w:val="0"/>
        <w:ind w:left="708"/>
        <w:rPr>
          <w:rFonts w:eastAsiaTheme="minorHAnsi" w:cs="Arial"/>
          <w:sz w:val="22"/>
          <w:szCs w:val="22"/>
          <w:lang w:eastAsia="en-US"/>
        </w:rPr>
      </w:pPr>
    </w:p>
    <w:p w:rsidR="000821F4" w:rsidRPr="000821F4" w:rsidRDefault="000821F4" w:rsidP="000821F4">
      <w:pPr>
        <w:autoSpaceDE w:val="0"/>
        <w:autoSpaceDN w:val="0"/>
        <w:adjustRightInd w:val="0"/>
        <w:ind w:left="708"/>
        <w:rPr>
          <w:rFonts w:cs="Arial"/>
          <w:sz w:val="22"/>
          <w:szCs w:val="22"/>
        </w:rPr>
      </w:pPr>
      <w:r w:rsidRPr="000821F4">
        <w:rPr>
          <w:rFonts w:eastAsiaTheme="minorHAnsi" w:cs="Arial"/>
          <w:sz w:val="22"/>
          <w:szCs w:val="22"/>
          <w:lang w:eastAsia="en-US"/>
        </w:rPr>
        <w:t>Relevant im Rahmen dieser Abfrage sind Maßnahmen mit dem Ziel der Integration in den</w:t>
      </w:r>
      <w:r>
        <w:rPr>
          <w:rFonts w:eastAsiaTheme="minorHAnsi" w:cs="Arial"/>
          <w:sz w:val="22"/>
          <w:szCs w:val="22"/>
          <w:lang w:eastAsia="en-US"/>
        </w:rPr>
        <w:t xml:space="preserve"> </w:t>
      </w:r>
      <w:r w:rsidRPr="000821F4">
        <w:rPr>
          <w:rFonts w:eastAsiaTheme="minorHAnsi" w:cs="Arial"/>
          <w:sz w:val="22"/>
          <w:szCs w:val="22"/>
          <w:lang w:eastAsia="en-US"/>
        </w:rPr>
        <w:t>1. Arbeitsmarkt: Maßnahmen zur Aktivierung und beruflichen Eingliederung / MAT, die Berufsausbildung in außerbetrieblichen Einrichtungen (</w:t>
      </w:r>
      <w:bookmarkStart w:id="6" w:name="txtBetreff"/>
      <w:r w:rsidRPr="001D611A">
        <w:rPr>
          <w:rFonts w:eastAsiaTheme="minorHAnsi" w:cs="Arial"/>
          <w:sz w:val="22"/>
          <w:szCs w:val="22"/>
          <w:lang w:eastAsia="en-US"/>
        </w:rPr>
        <w:t>BaE</w:t>
      </w:r>
      <w:bookmarkEnd w:id="6"/>
      <w:r w:rsidRPr="000821F4">
        <w:rPr>
          <w:rFonts w:eastAsiaTheme="minorHAnsi" w:cs="Arial"/>
          <w:sz w:val="22"/>
          <w:szCs w:val="22"/>
          <w:lang w:eastAsia="en-US"/>
        </w:rPr>
        <w:t>) sowie die</w:t>
      </w:r>
      <w:r>
        <w:rPr>
          <w:rFonts w:eastAsiaTheme="minorHAnsi" w:cs="Arial"/>
          <w:sz w:val="22"/>
          <w:szCs w:val="22"/>
          <w:lang w:eastAsia="en-US"/>
        </w:rPr>
        <w:t xml:space="preserve"> </w:t>
      </w:r>
      <w:r w:rsidRPr="000821F4">
        <w:rPr>
          <w:rFonts w:eastAsiaTheme="minorHAnsi" w:cs="Arial"/>
          <w:sz w:val="22"/>
          <w:szCs w:val="22"/>
          <w:lang w:eastAsia="en-US"/>
        </w:rPr>
        <w:t>Förderung der beruflichen Weiterbildung (</w:t>
      </w:r>
      <w:r>
        <w:rPr>
          <w:rFonts w:eastAsiaTheme="minorHAnsi" w:cs="Arial"/>
          <w:sz w:val="22"/>
          <w:szCs w:val="22"/>
          <w:lang w:eastAsia="en-US"/>
        </w:rPr>
        <w:t>FbW</w:t>
      </w:r>
      <w:r w:rsidRPr="000821F4">
        <w:rPr>
          <w:rFonts w:eastAsiaTheme="minorHAnsi" w:cs="Arial"/>
          <w:sz w:val="22"/>
          <w:szCs w:val="22"/>
          <w:lang w:eastAsia="en-US"/>
        </w:rPr>
        <w:t>) und entsprechende rehaspezifische</w:t>
      </w:r>
      <w:r>
        <w:rPr>
          <w:rFonts w:eastAsiaTheme="minorHAnsi" w:cs="Arial"/>
          <w:sz w:val="22"/>
          <w:szCs w:val="22"/>
          <w:lang w:eastAsia="en-US"/>
        </w:rPr>
        <w:t xml:space="preserve"> </w:t>
      </w:r>
      <w:r w:rsidRPr="000821F4">
        <w:rPr>
          <w:rFonts w:eastAsiaTheme="minorHAnsi" w:cs="Arial"/>
          <w:sz w:val="22"/>
          <w:szCs w:val="22"/>
          <w:lang w:eastAsia="en-US"/>
        </w:rPr>
        <w:t>Maßnahmen (</w:t>
      </w:r>
      <w:r>
        <w:rPr>
          <w:rFonts w:eastAsiaTheme="minorHAnsi" w:cs="Arial"/>
          <w:sz w:val="22"/>
          <w:szCs w:val="22"/>
          <w:lang w:eastAsia="en-US"/>
        </w:rPr>
        <w:t>Reha</w:t>
      </w:r>
      <w:r w:rsidRPr="000821F4">
        <w:rPr>
          <w:rFonts w:eastAsiaTheme="minorHAnsi" w:cs="Arial"/>
          <w:sz w:val="22"/>
          <w:szCs w:val="22"/>
          <w:lang w:eastAsia="en-US"/>
        </w:rPr>
        <w:t>) mit einer Teilnahmedauer von mindestens 6</w:t>
      </w:r>
      <w:r>
        <w:rPr>
          <w:rFonts w:eastAsiaTheme="minorHAnsi" w:cs="Arial"/>
          <w:sz w:val="22"/>
          <w:szCs w:val="22"/>
          <w:lang w:eastAsia="en-US"/>
        </w:rPr>
        <w:t xml:space="preserve"> </w:t>
      </w:r>
      <w:r w:rsidRPr="000821F4">
        <w:rPr>
          <w:rFonts w:eastAsiaTheme="minorHAnsi" w:cs="Arial"/>
          <w:sz w:val="22"/>
          <w:szCs w:val="22"/>
          <w:lang w:eastAsia="en-US"/>
        </w:rPr>
        <w:t>Monaten.</w:t>
      </w:r>
    </w:p>
    <w:p w:rsidR="000821F4" w:rsidRDefault="000821F4" w:rsidP="000821F4">
      <w:pPr>
        <w:pStyle w:val="Listenabsatz"/>
        <w:ind w:left="0"/>
        <w:contextualSpacing w:val="0"/>
        <w:rPr>
          <w:rFonts w:ascii="Helvetica" w:hAnsi="Helvetica" w:cs="Helvetica"/>
        </w:rPr>
      </w:pPr>
    </w:p>
    <w:p w:rsidR="000821F4" w:rsidRPr="00714F34" w:rsidRDefault="00353F14" w:rsidP="000821F4">
      <w:pPr>
        <w:pStyle w:val="Listenabsatz"/>
        <w:ind w:left="0"/>
        <w:contextualSpacing w:val="0"/>
        <w:rPr>
          <w:rFonts w:ascii="Helvetica" w:hAnsi="Helvetica" w:cs="Helvetica"/>
          <w:u w:color="000000" w:themeColor="text1"/>
        </w:rPr>
      </w:pPr>
      <w:r>
        <w:rPr>
          <w:rFonts w:ascii="Helvetica" w:hAnsi="Helvetica" w:cs="Helvetica"/>
        </w:rPr>
        <w:t xml:space="preserve"> </w:t>
      </w:r>
      <w:hyperlink r:id="rId11" w:history="1">
        <w:r w:rsidRPr="00714F34">
          <w:rPr>
            <w:rStyle w:val="Hyperlink"/>
            <w:rFonts w:ascii="Helvetica" w:hAnsi="Helvetica" w:cs="Helvetica"/>
            <w:u w:color="000000" w:themeColor="text1"/>
          </w:rPr>
          <w:t>zur v</w:t>
        </w:r>
        <w:r w:rsidR="000821F4" w:rsidRPr="00714F34">
          <w:rPr>
            <w:rStyle w:val="Hyperlink"/>
            <w:rFonts w:ascii="Helvetica" w:hAnsi="Helvetica" w:cs="Helvetica"/>
            <w:u w:color="000000" w:themeColor="text1"/>
          </w:rPr>
          <w:t>ollständige</w:t>
        </w:r>
        <w:r w:rsidRPr="00714F34">
          <w:rPr>
            <w:rStyle w:val="Hyperlink"/>
            <w:rFonts w:ascii="Helvetica" w:hAnsi="Helvetica" w:cs="Helvetica"/>
            <w:u w:color="000000" w:themeColor="text1"/>
          </w:rPr>
          <w:t>n</w:t>
        </w:r>
        <w:r w:rsidR="000821F4" w:rsidRPr="00714F34">
          <w:rPr>
            <w:rStyle w:val="Hyperlink"/>
            <w:rFonts w:ascii="Helvetica" w:hAnsi="Helvetica" w:cs="Helvetica"/>
            <w:u w:color="000000" w:themeColor="text1"/>
          </w:rPr>
          <w:t xml:space="preserve"> DORA-Abfragebeschreibun</w:t>
        </w:r>
        <w:r w:rsidRPr="00714F34">
          <w:rPr>
            <w:rStyle w:val="Hyperlink"/>
            <w:rFonts w:ascii="Helvetica" w:hAnsi="Helvetica" w:cs="Helvetica"/>
            <w:u w:color="000000" w:themeColor="text1"/>
          </w:rPr>
          <w:t>g 203</w:t>
        </w:r>
      </w:hyperlink>
    </w:p>
    <w:p w:rsidR="000821F4" w:rsidRPr="00353F14" w:rsidRDefault="000821F4" w:rsidP="000821F4">
      <w:pPr>
        <w:pStyle w:val="Listenabsatz"/>
        <w:ind w:left="0"/>
        <w:contextualSpacing w:val="0"/>
        <w:rPr>
          <w:rFonts w:ascii="Helvetica" w:hAnsi="Helvetica" w:cs="Helvetica"/>
          <w:u w:color="000000" w:themeColor="text1"/>
        </w:rPr>
      </w:pPr>
    </w:p>
    <w:p w:rsidR="00353F14" w:rsidRPr="00353F14" w:rsidRDefault="00353F14" w:rsidP="00353F14">
      <w:pPr>
        <w:tabs>
          <w:tab w:val="left" w:pos="3510"/>
        </w:tabs>
        <w:rPr>
          <w:sz w:val="22"/>
          <w:szCs w:val="22"/>
          <w:u w:val="single"/>
        </w:rPr>
      </w:pPr>
      <w:r w:rsidRPr="00353F14">
        <w:rPr>
          <w:sz w:val="22"/>
          <w:szCs w:val="22"/>
          <w:u w:val="single"/>
        </w:rPr>
        <w:t>Controlling und Fachaufsich</w:t>
      </w:r>
      <w:r w:rsidR="00A926A4">
        <w:rPr>
          <w:sz w:val="22"/>
          <w:szCs w:val="22"/>
          <w:u w:val="single"/>
        </w:rPr>
        <w:t>t FbW</w:t>
      </w:r>
    </w:p>
    <w:p w:rsidR="00353F14" w:rsidRPr="00353F14" w:rsidRDefault="00353F14" w:rsidP="00353F14">
      <w:pPr>
        <w:pStyle w:val="Listenabsatz"/>
        <w:contextualSpacing w:val="0"/>
      </w:pPr>
    </w:p>
    <w:p w:rsidR="00353F14" w:rsidRPr="00353F14" w:rsidRDefault="00091C6B" w:rsidP="00353F14">
      <w:pPr>
        <w:pStyle w:val="Listenabsatz"/>
        <w:contextualSpacing w:val="0"/>
      </w:pPr>
      <w:hyperlink w:anchor="Controlling" w:history="1">
        <w:r w:rsidR="00353F14" w:rsidRPr="00714F34">
          <w:rPr>
            <w:rStyle w:val="Hyperlink"/>
            <w:u w:color="000000" w:themeColor="text1"/>
          </w:rPr>
          <w:t>Controlling</w:t>
        </w:r>
      </w:hyperlink>
      <w:r w:rsidR="00353F14" w:rsidRPr="00353F14">
        <w:t xml:space="preserve">               </w:t>
      </w:r>
      <w:hyperlink r:id="rId12" w:history="1">
        <w:r w:rsidR="00353F14" w:rsidRPr="00353F14">
          <w:rPr>
            <w:rStyle w:val="Hyperlink"/>
          </w:rPr>
          <w:t>Fachaufsicht</w:t>
        </w:r>
      </w:hyperlink>
    </w:p>
    <w:p w:rsidR="00953BC5" w:rsidRDefault="00953BC5" w:rsidP="00953BC5">
      <w:pPr>
        <w:pStyle w:val="Listenabsatz"/>
        <w:ind w:left="0"/>
        <w:contextualSpacing w:val="0"/>
      </w:pPr>
    </w:p>
    <w:p w:rsidR="00953BC5" w:rsidRDefault="00953BC5" w:rsidP="00953BC5">
      <w:pPr>
        <w:pStyle w:val="Listenabsatz"/>
        <w:ind w:left="0" w:firstLine="708"/>
        <w:contextualSpacing w:val="0"/>
        <w:rPr>
          <w:b/>
        </w:rPr>
      </w:pPr>
      <w:r w:rsidRPr="00B570CB">
        <w:rPr>
          <w:b/>
        </w:rPr>
        <w:t>2.2</w:t>
      </w:r>
      <w:r>
        <w:rPr>
          <w:b/>
        </w:rPr>
        <w:t>.</w:t>
      </w:r>
      <w:r w:rsidRPr="00B570CB">
        <w:rPr>
          <w:b/>
        </w:rPr>
        <w:t xml:space="preserve"> FbW REHA</w:t>
      </w:r>
    </w:p>
    <w:p w:rsidR="00953BC5" w:rsidRPr="003B5DA0" w:rsidRDefault="00953BC5" w:rsidP="00953BC5">
      <w:pPr>
        <w:rPr>
          <w:b/>
        </w:rPr>
      </w:pPr>
    </w:p>
    <w:p w:rsidR="00953BC5" w:rsidRDefault="00953BC5" w:rsidP="00953BC5">
      <w:r>
        <w:t xml:space="preserve">Verfahrensschritte </w:t>
      </w:r>
      <w:r w:rsidRPr="00203441">
        <w:t>wie bei FbW</w:t>
      </w:r>
      <w:r>
        <w:t>, jedoch Beachtung folgender Punkte:</w:t>
      </w:r>
    </w:p>
    <w:p w:rsidR="00953BC5" w:rsidRDefault="00953BC5" w:rsidP="00953BC5">
      <w:pPr>
        <w:rPr>
          <w:b/>
        </w:rPr>
      </w:pPr>
    </w:p>
    <w:p w:rsidR="00953BC5" w:rsidRDefault="00953BC5" w:rsidP="00953BC5">
      <w:pPr>
        <w:rPr>
          <w:b/>
        </w:rPr>
      </w:pPr>
      <w:r>
        <w:rPr>
          <w:b/>
        </w:rPr>
        <w:t>Beachtung Unterscheidung REHA Förderung Kostenträger BA</w:t>
      </w:r>
    </w:p>
    <w:p w:rsidR="00953BC5" w:rsidRDefault="00953BC5" w:rsidP="00953BC5">
      <w:pPr>
        <w:rPr>
          <w:b/>
        </w:rPr>
      </w:pPr>
      <w:r>
        <w:rPr>
          <w:b/>
        </w:rPr>
        <w:t>Förderung Fremdträger</w:t>
      </w:r>
    </w:p>
    <w:p w:rsidR="00953BC5" w:rsidRDefault="00953BC5" w:rsidP="00953BC5"/>
    <w:p w:rsidR="00953BC5" w:rsidRDefault="00953BC5" w:rsidP="00953BC5">
      <w:pPr>
        <w:pStyle w:val="Listenabsatz"/>
        <w:numPr>
          <w:ilvl w:val="0"/>
          <w:numId w:val="37"/>
        </w:numPr>
      </w:pPr>
      <w:r>
        <w:t xml:space="preserve">Zusammenarbeit mit REHA Berater bei Kostenträgerschaft BA </w:t>
      </w:r>
    </w:p>
    <w:p w:rsidR="00953BC5" w:rsidRPr="00203441" w:rsidRDefault="00953BC5" w:rsidP="00953BC5">
      <w:pPr>
        <w:pStyle w:val="Listenabsatz"/>
        <w:numPr>
          <w:ilvl w:val="0"/>
          <w:numId w:val="37"/>
        </w:numPr>
      </w:pPr>
      <w:r w:rsidRPr="00203441">
        <w:rPr>
          <w:bCs/>
        </w:rPr>
        <w:t>Für Kunden, bei denen ein anderer Reha-Träger zuständig ist, besteht für die AV aus</w:t>
      </w:r>
      <w:r>
        <w:rPr>
          <w:bCs/>
        </w:rPr>
        <w:t>schließlich ein Vermittlungsauf</w:t>
      </w:r>
      <w:r w:rsidRPr="00203441">
        <w:rPr>
          <w:bCs/>
        </w:rPr>
        <w:t>trag, der im Rahmen des 4-Phasen-Modells der Arbeitsvermittlung wahr</w:t>
      </w:r>
      <w:r>
        <w:rPr>
          <w:bCs/>
        </w:rPr>
        <w:t>genommen wird</w:t>
      </w:r>
    </w:p>
    <w:p w:rsidR="00953BC5" w:rsidRDefault="00953BC5" w:rsidP="00953BC5">
      <w:pPr>
        <w:pStyle w:val="Listenabsatz"/>
        <w:numPr>
          <w:ilvl w:val="0"/>
          <w:numId w:val="37"/>
        </w:numPr>
        <w:contextualSpacing w:val="0"/>
      </w:pPr>
      <w:r>
        <w:t>Interne Kennung bei REHA Wiedereingliederung „ABSOLWE“ zum Ende der Maßnahme setzen</w:t>
      </w:r>
    </w:p>
    <w:p w:rsidR="00953BC5" w:rsidRDefault="00953BC5" w:rsidP="00953BC5">
      <w:pPr>
        <w:pStyle w:val="Listenabsatz"/>
        <w:numPr>
          <w:ilvl w:val="0"/>
          <w:numId w:val="37"/>
        </w:numPr>
        <w:contextualSpacing w:val="0"/>
      </w:pPr>
      <w:r>
        <w:t>REHA Betreuer ist Nebenbetreuer, die AV bleibt Hauptbetreuer</w:t>
      </w:r>
    </w:p>
    <w:p w:rsidR="00953BC5" w:rsidRDefault="00953BC5" w:rsidP="00953BC5">
      <w:pPr>
        <w:pStyle w:val="Listenabsatz"/>
        <w:numPr>
          <w:ilvl w:val="0"/>
          <w:numId w:val="37"/>
        </w:numPr>
        <w:contextualSpacing w:val="0"/>
      </w:pPr>
      <w:r>
        <w:t xml:space="preserve">Lebenslaufeintrag bei REHA Fremdträgerschaft: Weiterbildung Fremdförderung </w:t>
      </w:r>
    </w:p>
    <w:p w:rsidR="001D611A" w:rsidRDefault="001D611A" w:rsidP="001D611A">
      <w:pPr>
        <w:pStyle w:val="Listenabsatz"/>
        <w:contextualSpacing w:val="0"/>
      </w:pPr>
    </w:p>
    <w:p w:rsidR="00953BC5" w:rsidRDefault="00953BC5" w:rsidP="00953BC5"/>
    <w:p w:rsidR="00953BC5" w:rsidRDefault="00953BC5" w:rsidP="00953BC5">
      <w:pPr>
        <w:pStyle w:val="Listenabsatz"/>
        <w:ind w:left="0" w:firstLine="708"/>
        <w:contextualSpacing w:val="0"/>
        <w:rPr>
          <w:b/>
        </w:rPr>
      </w:pPr>
      <w:r>
        <w:rPr>
          <w:b/>
        </w:rPr>
        <w:t>2.3. MAT</w:t>
      </w:r>
    </w:p>
    <w:p w:rsidR="00953BC5" w:rsidRDefault="00953BC5" w:rsidP="00953BC5">
      <w:pPr>
        <w:pStyle w:val="Listenabsatz"/>
        <w:ind w:left="0" w:firstLine="708"/>
        <w:contextualSpacing w:val="0"/>
        <w:rPr>
          <w:b/>
        </w:rPr>
      </w:pPr>
    </w:p>
    <w:p w:rsidR="00953BC5" w:rsidRDefault="00953BC5" w:rsidP="00953BC5">
      <w:pPr>
        <w:pStyle w:val="Listenabsatz"/>
        <w:ind w:left="0" w:firstLine="708"/>
        <w:contextualSpacing w:val="0"/>
        <w:rPr>
          <w:b/>
        </w:rPr>
      </w:pPr>
    </w:p>
    <w:p w:rsidR="00953BC5" w:rsidRPr="008A3DC8" w:rsidRDefault="00953BC5" w:rsidP="00953BC5">
      <w:pPr>
        <w:pStyle w:val="Listenabsatz"/>
        <w:ind w:left="0"/>
        <w:contextualSpacing w:val="0"/>
        <w:rPr>
          <w:u w:val="single"/>
        </w:rPr>
      </w:pPr>
      <w:r w:rsidRPr="008A3DC8">
        <w:rPr>
          <w:u w:val="single"/>
        </w:rPr>
        <w:t xml:space="preserve">Vor der Maßnahme  </w:t>
      </w:r>
    </w:p>
    <w:p w:rsidR="00953BC5" w:rsidRDefault="00953BC5" w:rsidP="00953BC5">
      <w:pPr>
        <w:pStyle w:val="Listenabsatz"/>
        <w:ind w:left="0"/>
        <w:contextualSpacing w:val="0"/>
      </w:pPr>
    </w:p>
    <w:p w:rsidR="00953BC5" w:rsidRDefault="00953BC5" w:rsidP="00953BC5">
      <w:pPr>
        <w:pStyle w:val="Listenabsatz"/>
        <w:ind w:left="0"/>
        <w:contextualSpacing w:val="0"/>
      </w:pPr>
      <w:r>
        <w:t xml:space="preserve">Verantwortlich AV </w:t>
      </w:r>
    </w:p>
    <w:p w:rsidR="00953BC5" w:rsidRDefault="00953BC5" w:rsidP="00953BC5">
      <w:pPr>
        <w:pStyle w:val="Listenabsatz"/>
        <w:ind w:left="0"/>
        <w:contextualSpacing w:val="0"/>
      </w:pPr>
    </w:p>
    <w:p w:rsidR="00953BC5" w:rsidRDefault="00953BC5" w:rsidP="00953BC5">
      <w:pPr>
        <w:pStyle w:val="Listenabsatz"/>
        <w:numPr>
          <w:ilvl w:val="0"/>
          <w:numId w:val="33"/>
        </w:numPr>
        <w:contextualSpacing w:val="0"/>
      </w:pPr>
      <w:r>
        <w:t>Dokumentation der beruflichen Defizite, Ziel der Maßnahme Aktivierung oder berufliche Eingliederung</w:t>
      </w:r>
    </w:p>
    <w:p w:rsidR="00953BC5" w:rsidRDefault="00953BC5" w:rsidP="00953BC5">
      <w:pPr>
        <w:pStyle w:val="Listenabsatz"/>
        <w:numPr>
          <w:ilvl w:val="0"/>
          <w:numId w:val="33"/>
        </w:numPr>
        <w:contextualSpacing w:val="0"/>
      </w:pPr>
      <w:r w:rsidRPr="008A3DC8">
        <w:t xml:space="preserve">Fördercheck </w:t>
      </w:r>
    </w:p>
    <w:p w:rsidR="00953BC5" w:rsidRDefault="00953BC5" w:rsidP="00953BC5">
      <w:pPr>
        <w:pStyle w:val="Listenabsatz"/>
        <w:numPr>
          <w:ilvl w:val="0"/>
          <w:numId w:val="33"/>
        </w:numPr>
        <w:contextualSpacing w:val="0"/>
      </w:pPr>
      <w:r w:rsidRPr="008A3DC8">
        <w:t>C</w:t>
      </w:r>
      <w:r>
        <w:t>OSACH</w:t>
      </w:r>
      <w:r w:rsidRPr="008A3DC8">
        <w:t xml:space="preserve"> Buchung</w:t>
      </w:r>
    </w:p>
    <w:p w:rsidR="00953BC5" w:rsidRDefault="00953BC5" w:rsidP="00953BC5">
      <w:pPr>
        <w:pStyle w:val="Listenabsatz"/>
        <w:numPr>
          <w:ilvl w:val="0"/>
          <w:numId w:val="33"/>
        </w:numPr>
        <w:autoSpaceDE w:val="0"/>
        <w:autoSpaceDN w:val="0"/>
        <w:adjustRightInd w:val="0"/>
        <w:contextualSpacing w:val="0"/>
      </w:pPr>
      <w:r>
        <w:t>Erstellung einer individuellen E</w:t>
      </w:r>
      <w:r w:rsidRPr="008A3DC8">
        <w:t>V</w:t>
      </w:r>
      <w:r>
        <w:t xml:space="preserve">:  </w:t>
      </w:r>
    </w:p>
    <w:p w:rsidR="00953BC5" w:rsidRPr="008A3DC8" w:rsidRDefault="00953BC5" w:rsidP="00953BC5">
      <w:pPr>
        <w:pStyle w:val="Listenabsatz"/>
        <w:autoSpaceDE w:val="0"/>
        <w:autoSpaceDN w:val="0"/>
        <w:adjustRightInd w:val="0"/>
        <w:ind w:left="705"/>
        <w:contextualSpacing w:val="0"/>
      </w:pPr>
      <w:r w:rsidRPr="00B570CB">
        <w:t>Kunde:</w:t>
      </w:r>
      <w:r w:rsidRPr="008A3DC8">
        <w:t xml:space="preserve"> Verpflichtung zur </w:t>
      </w:r>
      <w:r>
        <w:t xml:space="preserve">regelmäßigen </w:t>
      </w:r>
      <w:r w:rsidRPr="008A3DC8">
        <w:t xml:space="preserve">Teilnahme </w:t>
      </w:r>
      <w:r>
        <w:t xml:space="preserve">unter Nennung konkreter Maßnahme, Beginn und Dauer, Einfordern aktiver </w:t>
      </w:r>
      <w:r w:rsidRPr="008A3DC8">
        <w:t xml:space="preserve"> Mitwirkung, Rückmeldung bei </w:t>
      </w:r>
      <w:r>
        <w:t xml:space="preserve">       </w:t>
      </w:r>
      <w:r w:rsidRPr="008A3DC8">
        <w:t>Auffälligkeiten, EB, Aktualisierung BU, Reaktion auf VV, mögliche Erweiterung der Mobilität</w:t>
      </w:r>
    </w:p>
    <w:p w:rsidR="00953BC5" w:rsidRPr="008A3DC8" w:rsidRDefault="00953BC5" w:rsidP="00953BC5">
      <w:pPr>
        <w:autoSpaceDE w:val="0"/>
        <w:autoSpaceDN w:val="0"/>
        <w:adjustRightInd w:val="0"/>
        <w:ind w:left="360"/>
      </w:pPr>
      <w:r w:rsidRPr="00B570CB">
        <w:t xml:space="preserve">     JC:</w:t>
      </w:r>
      <w:r w:rsidRPr="008A3DC8">
        <w:t xml:space="preserve"> Kostenübernahme, Vermittlung unter Berücksichtigung des Integrationszieles </w:t>
      </w:r>
    </w:p>
    <w:p w:rsidR="00953BC5" w:rsidRPr="008A3DC8" w:rsidRDefault="00953BC5" w:rsidP="00953BC5">
      <w:pPr>
        <w:pStyle w:val="Listenabsatz"/>
        <w:ind w:left="0"/>
        <w:contextualSpacing w:val="0"/>
      </w:pPr>
    </w:p>
    <w:p w:rsidR="00953BC5" w:rsidRDefault="00953BC5" w:rsidP="00953BC5">
      <w:pPr>
        <w:pStyle w:val="Listenabsatz"/>
        <w:numPr>
          <w:ilvl w:val="0"/>
          <w:numId w:val="34"/>
        </w:numPr>
        <w:contextualSpacing w:val="0"/>
      </w:pPr>
      <w:r>
        <w:t xml:space="preserve">Setzen notwendiger Wiedervorlagen in VERBIS zum Ende der Maßnahme und Einladung  zum </w:t>
      </w:r>
      <w:r w:rsidRPr="00CE2BD1">
        <w:t>Vermittlergespräch innerhalb von 1 Woche nach der Maßnahme</w:t>
      </w:r>
    </w:p>
    <w:p w:rsidR="00953BC5" w:rsidRDefault="00953BC5" w:rsidP="00953BC5"/>
    <w:p w:rsidR="00953BC5" w:rsidRDefault="00953BC5" w:rsidP="00953BC5"/>
    <w:p w:rsidR="00953BC5" w:rsidRDefault="00953BC5" w:rsidP="00953BC5">
      <w:pPr>
        <w:pStyle w:val="Listenabsatz"/>
        <w:ind w:left="0"/>
        <w:contextualSpacing w:val="0"/>
        <w:rPr>
          <w:u w:val="single"/>
        </w:rPr>
      </w:pPr>
    </w:p>
    <w:p w:rsidR="00953BC5" w:rsidRDefault="00953BC5" w:rsidP="00953BC5">
      <w:pPr>
        <w:pStyle w:val="Listenabsatz"/>
        <w:ind w:left="0"/>
        <w:contextualSpacing w:val="0"/>
        <w:rPr>
          <w:u w:val="single"/>
        </w:rPr>
      </w:pPr>
    </w:p>
    <w:p w:rsidR="00953BC5" w:rsidRDefault="00953BC5" w:rsidP="00953BC5">
      <w:pPr>
        <w:pStyle w:val="Listenabsatz"/>
        <w:ind w:left="0"/>
        <w:contextualSpacing w:val="0"/>
        <w:rPr>
          <w:u w:val="single"/>
        </w:rPr>
      </w:pPr>
      <w:r w:rsidRPr="008A3DC8">
        <w:rPr>
          <w:u w:val="single"/>
        </w:rPr>
        <w:t>Während der Maßnahme</w:t>
      </w:r>
    </w:p>
    <w:p w:rsidR="00953BC5" w:rsidRPr="008A3DC8" w:rsidRDefault="00953BC5" w:rsidP="00953BC5">
      <w:pPr>
        <w:pStyle w:val="Listenabsatz"/>
        <w:ind w:left="0"/>
        <w:contextualSpacing w:val="0"/>
        <w:rPr>
          <w:u w:val="single"/>
        </w:rPr>
      </w:pPr>
    </w:p>
    <w:p w:rsidR="00953BC5" w:rsidRDefault="00953BC5" w:rsidP="00953BC5">
      <w:pPr>
        <w:pStyle w:val="Listenabsatz"/>
        <w:ind w:left="0"/>
        <w:contextualSpacing w:val="0"/>
      </w:pPr>
      <w:r>
        <w:t xml:space="preserve">Verantwortlich AV </w:t>
      </w:r>
    </w:p>
    <w:p w:rsidR="00953BC5" w:rsidRDefault="00953BC5" w:rsidP="00953BC5">
      <w:pPr>
        <w:pStyle w:val="Listenabsatz"/>
        <w:ind w:left="0"/>
        <w:contextualSpacing w:val="0"/>
      </w:pPr>
    </w:p>
    <w:p w:rsidR="00953BC5" w:rsidRDefault="00953BC5" w:rsidP="00953BC5">
      <w:pPr>
        <w:pStyle w:val="Listenabsatz"/>
        <w:numPr>
          <w:ilvl w:val="0"/>
          <w:numId w:val="34"/>
        </w:numPr>
        <w:contextualSpacing w:val="0"/>
      </w:pPr>
      <w:r>
        <w:t>Kontakt zum Kunden und/oder Träger bei Notwendigkeit halten / Maßnahmeerfolg beobachten / gegensteuern je nach Organisation auch über Maßnahmebetreuer</w:t>
      </w:r>
    </w:p>
    <w:p w:rsidR="00953BC5" w:rsidRDefault="00953BC5" w:rsidP="00953BC5">
      <w:pPr>
        <w:pStyle w:val="Listenabsatz"/>
        <w:numPr>
          <w:ilvl w:val="0"/>
          <w:numId w:val="34"/>
        </w:numPr>
        <w:contextualSpacing w:val="0"/>
      </w:pPr>
      <w:r>
        <w:t>je nach Vertragsart Nachverfolgung und Auswertung von Berichten/Zwischenberichten mit oder ohne Kunde ggf. Anpassung Stärken des Kunden</w:t>
      </w:r>
    </w:p>
    <w:p w:rsidR="00953BC5" w:rsidRDefault="00953BC5" w:rsidP="00953BC5">
      <w:pPr>
        <w:pStyle w:val="Listenabsatz"/>
        <w:ind w:left="0"/>
        <w:contextualSpacing w:val="0"/>
      </w:pPr>
    </w:p>
    <w:p w:rsidR="00953BC5" w:rsidRDefault="00953BC5" w:rsidP="00953BC5"/>
    <w:p w:rsidR="00953BC5" w:rsidRDefault="00953BC5" w:rsidP="00953BC5">
      <w:pPr>
        <w:pStyle w:val="Listenabsatz"/>
        <w:ind w:left="0"/>
        <w:contextualSpacing w:val="0"/>
        <w:rPr>
          <w:u w:val="single"/>
        </w:rPr>
      </w:pPr>
      <w:r w:rsidRPr="00633C5C">
        <w:rPr>
          <w:u w:val="single"/>
        </w:rPr>
        <w:t>Nach der Maßnahme</w:t>
      </w:r>
    </w:p>
    <w:p w:rsidR="00953BC5" w:rsidRDefault="00953BC5" w:rsidP="00953BC5">
      <w:pPr>
        <w:pStyle w:val="Listenabsatz"/>
        <w:ind w:left="0"/>
        <w:contextualSpacing w:val="0"/>
        <w:rPr>
          <w:u w:val="single"/>
        </w:rPr>
      </w:pPr>
    </w:p>
    <w:p w:rsidR="00953BC5" w:rsidRPr="00633C5C" w:rsidRDefault="00953BC5" w:rsidP="00953BC5">
      <w:pPr>
        <w:pStyle w:val="Listenabsatz"/>
        <w:ind w:left="0"/>
        <w:contextualSpacing w:val="0"/>
      </w:pPr>
      <w:r w:rsidRPr="00633C5C">
        <w:t xml:space="preserve">Verantwortlich AV </w:t>
      </w:r>
    </w:p>
    <w:p w:rsidR="00953BC5" w:rsidRDefault="00953BC5" w:rsidP="00953BC5"/>
    <w:p w:rsidR="00953BC5" w:rsidRDefault="00953BC5" w:rsidP="00953BC5">
      <w:pPr>
        <w:pStyle w:val="Listenabsatz"/>
        <w:numPr>
          <w:ilvl w:val="0"/>
          <w:numId w:val="38"/>
        </w:numPr>
      </w:pPr>
      <w:r>
        <w:t xml:space="preserve">Kontakt/ </w:t>
      </w:r>
      <w:r w:rsidRPr="00CE2BD1">
        <w:t>Vermittlergespräch innerhalb von 1 Woche nach der Maßnahme</w:t>
      </w:r>
    </w:p>
    <w:p w:rsidR="00953BC5" w:rsidRDefault="00953BC5" w:rsidP="00953BC5">
      <w:pPr>
        <w:pStyle w:val="Default"/>
        <w:numPr>
          <w:ilvl w:val="0"/>
          <w:numId w:val="34"/>
        </w:numPr>
        <w:rPr>
          <w:sz w:val="22"/>
          <w:szCs w:val="22"/>
        </w:rPr>
      </w:pPr>
      <w:r>
        <w:rPr>
          <w:sz w:val="22"/>
          <w:szCs w:val="22"/>
        </w:rPr>
        <w:t xml:space="preserve">Auswertung, </w:t>
      </w:r>
      <w:r w:rsidRPr="00CE2BD1">
        <w:rPr>
          <w:sz w:val="22"/>
          <w:szCs w:val="22"/>
        </w:rPr>
        <w:t>sofern erforderlich, Aktualisierung des Bewerberangebots</w:t>
      </w:r>
      <w:r>
        <w:rPr>
          <w:sz w:val="22"/>
          <w:szCs w:val="22"/>
        </w:rPr>
        <w:t xml:space="preserve"> </w:t>
      </w:r>
      <w:r w:rsidRPr="00CE2BD1">
        <w:rPr>
          <w:sz w:val="22"/>
          <w:szCs w:val="22"/>
        </w:rPr>
        <w:t>(Stärken, Fähigkeiten, Fertigkeiten, Stellengesuch),Nachweise von Liz</w:t>
      </w:r>
      <w:r>
        <w:rPr>
          <w:sz w:val="22"/>
          <w:szCs w:val="22"/>
        </w:rPr>
        <w:t>enzen, Zertifikaten einfordern</w:t>
      </w:r>
    </w:p>
    <w:p w:rsidR="00953BC5" w:rsidRPr="005D5F49" w:rsidRDefault="00953BC5" w:rsidP="00953BC5">
      <w:pPr>
        <w:pStyle w:val="Default"/>
        <w:numPr>
          <w:ilvl w:val="0"/>
          <w:numId w:val="34"/>
        </w:numPr>
        <w:rPr>
          <w:sz w:val="22"/>
          <w:szCs w:val="22"/>
        </w:rPr>
      </w:pPr>
      <w:r w:rsidRPr="005D5F49">
        <w:rPr>
          <w:sz w:val="22"/>
          <w:szCs w:val="22"/>
        </w:rPr>
        <w:t xml:space="preserve">EV fortschreiben oder erneuern, Eigenbemühungen einfordern </w:t>
      </w:r>
    </w:p>
    <w:p w:rsidR="00953BC5" w:rsidRDefault="00953BC5" w:rsidP="00953BC5">
      <w:pPr>
        <w:pStyle w:val="Listenabsatz"/>
        <w:rPr>
          <w:color w:val="000000"/>
        </w:rPr>
      </w:pPr>
    </w:p>
    <w:p w:rsidR="00953BC5" w:rsidRDefault="00953BC5" w:rsidP="00953BC5">
      <w:pPr>
        <w:pStyle w:val="Listenabsatz"/>
        <w:rPr>
          <w:color w:val="000000"/>
        </w:rPr>
      </w:pPr>
    </w:p>
    <w:p w:rsidR="00953BC5" w:rsidRDefault="00953BC5" w:rsidP="00953BC5">
      <w:pPr>
        <w:pStyle w:val="Listenabsatz"/>
        <w:rPr>
          <w:color w:val="000000"/>
        </w:rPr>
      </w:pPr>
    </w:p>
    <w:p w:rsidR="00953BC5" w:rsidRDefault="00953BC5" w:rsidP="00953BC5">
      <w:pPr>
        <w:pStyle w:val="Listenabsatz"/>
        <w:ind w:left="0"/>
        <w:contextualSpacing w:val="0"/>
        <w:rPr>
          <w:u w:val="single"/>
        </w:rPr>
      </w:pPr>
      <w:r w:rsidRPr="00CE2BD1">
        <w:rPr>
          <w:u w:val="single"/>
        </w:rPr>
        <w:t>Abbruch /Nichtantritt der Maßnahme</w:t>
      </w:r>
    </w:p>
    <w:p w:rsidR="00953BC5" w:rsidRDefault="00953BC5" w:rsidP="00953BC5">
      <w:pPr>
        <w:pStyle w:val="Listenabsatz"/>
        <w:ind w:left="0"/>
        <w:contextualSpacing w:val="0"/>
        <w:rPr>
          <w:u w:val="single"/>
        </w:rPr>
      </w:pPr>
    </w:p>
    <w:p w:rsidR="00953BC5" w:rsidRDefault="00953BC5" w:rsidP="00953BC5">
      <w:pPr>
        <w:pStyle w:val="Listenabsatz"/>
        <w:ind w:left="0"/>
        <w:contextualSpacing w:val="0"/>
      </w:pPr>
      <w:r w:rsidRPr="00CE2BD1">
        <w:t>Verantwortlich AV</w:t>
      </w:r>
    </w:p>
    <w:p w:rsidR="00953BC5" w:rsidRDefault="00953BC5" w:rsidP="00953BC5">
      <w:pPr>
        <w:pStyle w:val="Listenabsatz"/>
        <w:ind w:left="0"/>
        <w:contextualSpacing w:val="0"/>
      </w:pPr>
    </w:p>
    <w:p w:rsidR="00953BC5" w:rsidRDefault="00953BC5" w:rsidP="00953BC5">
      <w:pPr>
        <w:pStyle w:val="Listenabsatz"/>
        <w:numPr>
          <w:ilvl w:val="0"/>
          <w:numId w:val="36"/>
        </w:numPr>
        <w:contextualSpacing w:val="0"/>
      </w:pPr>
      <w:r>
        <w:t xml:space="preserve">Information an Team Integrationsleitungen zur Einstellung der Förderung </w:t>
      </w:r>
    </w:p>
    <w:p w:rsidR="00953BC5" w:rsidRDefault="00953BC5" w:rsidP="00953BC5">
      <w:pPr>
        <w:pStyle w:val="Listenabsatz"/>
        <w:numPr>
          <w:ilvl w:val="0"/>
          <w:numId w:val="36"/>
        </w:numPr>
        <w:contextualSpacing w:val="0"/>
      </w:pPr>
      <w:r>
        <w:lastRenderedPageBreak/>
        <w:t>Information an EZ zur Prüfung „Status“ des Kunden (alo/asu)</w:t>
      </w:r>
    </w:p>
    <w:p w:rsidR="00953BC5" w:rsidRDefault="00953BC5" w:rsidP="00953BC5">
      <w:pPr>
        <w:pStyle w:val="Listenabsatz"/>
        <w:numPr>
          <w:ilvl w:val="0"/>
          <w:numId w:val="36"/>
        </w:numPr>
        <w:contextualSpacing w:val="0"/>
      </w:pPr>
      <w:r>
        <w:t xml:space="preserve">Überprüfung der Gründe und Einleitung weiterer Handlungsbedarfe </w:t>
      </w:r>
    </w:p>
    <w:p w:rsidR="00953BC5" w:rsidRDefault="00953BC5" w:rsidP="00953BC5">
      <w:pPr>
        <w:pStyle w:val="Listenabsatz"/>
        <w:rPr>
          <w:color w:val="000000"/>
        </w:rPr>
      </w:pPr>
    </w:p>
    <w:p w:rsidR="00953BC5" w:rsidRDefault="00953BC5" w:rsidP="00953BC5">
      <w:pPr>
        <w:pStyle w:val="Listenabsatz"/>
        <w:rPr>
          <w:color w:val="000000"/>
        </w:rPr>
      </w:pPr>
    </w:p>
    <w:p w:rsidR="00953BC5" w:rsidRDefault="00953BC5" w:rsidP="00953BC5">
      <w:pPr>
        <w:pStyle w:val="Listenabsatz"/>
        <w:rPr>
          <w:color w:val="000000"/>
        </w:rPr>
      </w:pPr>
    </w:p>
    <w:p w:rsidR="00953BC5" w:rsidRPr="00B570CB" w:rsidRDefault="00953BC5" w:rsidP="001D611A">
      <w:pPr>
        <w:tabs>
          <w:tab w:val="left" w:pos="3510"/>
        </w:tabs>
        <w:rPr>
          <w:u w:val="single"/>
        </w:rPr>
      </w:pPr>
      <w:r w:rsidRPr="001D611A">
        <w:rPr>
          <w:u w:val="single"/>
        </w:rPr>
        <w:t>Controlling und Fachaufsich</w:t>
      </w:r>
      <w:r w:rsidR="00714F34">
        <w:rPr>
          <w:u w:val="single"/>
        </w:rPr>
        <w:t>t MAT</w:t>
      </w:r>
    </w:p>
    <w:p w:rsidR="001D611A" w:rsidRDefault="001D611A" w:rsidP="00953BC5">
      <w:pPr>
        <w:pStyle w:val="Listenabsatz"/>
        <w:contextualSpacing w:val="0"/>
      </w:pPr>
    </w:p>
    <w:p w:rsidR="001D611A" w:rsidRDefault="00091C6B" w:rsidP="00353F14">
      <w:pPr>
        <w:pStyle w:val="Listenabsatz"/>
        <w:contextualSpacing w:val="0"/>
      </w:pPr>
      <w:hyperlink w:anchor="Controlling" w:history="1">
        <w:r w:rsidR="001D611A" w:rsidRPr="001D611A">
          <w:rPr>
            <w:rStyle w:val="Hyperlink"/>
          </w:rPr>
          <w:t>Controlling</w:t>
        </w:r>
      </w:hyperlink>
      <w:r w:rsidR="00353F14">
        <w:t xml:space="preserve">   </w:t>
      </w:r>
      <w:r w:rsidR="001D611A">
        <w:t xml:space="preserve">            </w:t>
      </w:r>
      <w:hyperlink r:id="rId13" w:history="1">
        <w:r w:rsidR="001D611A" w:rsidRPr="001D611A">
          <w:rPr>
            <w:rStyle w:val="Hyperlink"/>
          </w:rPr>
          <w:t>Fachaufsicht</w:t>
        </w:r>
      </w:hyperlink>
    </w:p>
    <w:p w:rsidR="00953BC5" w:rsidRDefault="00953BC5" w:rsidP="00953BC5">
      <w:pPr>
        <w:pStyle w:val="Listenabsatz"/>
        <w:rPr>
          <w:b/>
        </w:rPr>
      </w:pPr>
    </w:p>
    <w:p w:rsidR="00953BC5" w:rsidRDefault="00953BC5" w:rsidP="00953BC5">
      <w:pPr>
        <w:pStyle w:val="Listenabsatz"/>
        <w:rPr>
          <w:b/>
        </w:rPr>
      </w:pPr>
    </w:p>
    <w:p w:rsidR="00953BC5" w:rsidRDefault="00953BC5" w:rsidP="00953BC5">
      <w:pPr>
        <w:pStyle w:val="Listenabsatz"/>
        <w:rPr>
          <w:b/>
        </w:rPr>
      </w:pPr>
    </w:p>
    <w:p w:rsidR="00953BC5" w:rsidRPr="005D5F49" w:rsidRDefault="00953BC5" w:rsidP="00953BC5">
      <w:pPr>
        <w:pStyle w:val="Listenabsatz"/>
        <w:rPr>
          <w:b/>
        </w:rPr>
      </w:pPr>
    </w:p>
    <w:p w:rsidR="00953BC5" w:rsidRDefault="00953BC5" w:rsidP="00953BC5">
      <w:pPr>
        <w:pStyle w:val="Listenabsatz"/>
        <w:ind w:left="0" w:firstLine="708"/>
        <w:contextualSpacing w:val="0"/>
        <w:rPr>
          <w:b/>
        </w:rPr>
      </w:pPr>
      <w:r>
        <w:rPr>
          <w:b/>
        </w:rPr>
        <w:t>2.3. MAG</w:t>
      </w:r>
    </w:p>
    <w:p w:rsidR="00953BC5" w:rsidRDefault="00953BC5" w:rsidP="00953BC5">
      <w:pPr>
        <w:rPr>
          <w:b/>
        </w:rPr>
      </w:pPr>
    </w:p>
    <w:p w:rsidR="00953BC5" w:rsidRPr="008A3DC8" w:rsidRDefault="00953BC5" w:rsidP="00953BC5">
      <w:pPr>
        <w:pStyle w:val="Listenabsatz"/>
        <w:ind w:left="0"/>
        <w:contextualSpacing w:val="0"/>
        <w:rPr>
          <w:u w:val="single"/>
        </w:rPr>
      </w:pPr>
      <w:r w:rsidRPr="008A3DC8">
        <w:rPr>
          <w:u w:val="single"/>
        </w:rPr>
        <w:t xml:space="preserve">Vor der Maßnahme  </w:t>
      </w:r>
    </w:p>
    <w:p w:rsidR="00953BC5" w:rsidRDefault="00953BC5" w:rsidP="00953BC5">
      <w:pPr>
        <w:pStyle w:val="Listenabsatz"/>
        <w:ind w:left="0"/>
        <w:contextualSpacing w:val="0"/>
      </w:pPr>
    </w:p>
    <w:p w:rsidR="00953BC5" w:rsidRDefault="00953BC5" w:rsidP="00953BC5">
      <w:pPr>
        <w:pStyle w:val="Listenabsatz"/>
        <w:ind w:left="0"/>
        <w:contextualSpacing w:val="0"/>
      </w:pPr>
      <w:r>
        <w:t xml:space="preserve">Verantwortlich AV </w:t>
      </w:r>
    </w:p>
    <w:p w:rsidR="00953BC5" w:rsidRDefault="00953BC5" w:rsidP="00953BC5">
      <w:pPr>
        <w:pStyle w:val="Listenabsatz"/>
        <w:rPr>
          <w:b/>
        </w:rPr>
      </w:pPr>
    </w:p>
    <w:p w:rsidR="00953BC5" w:rsidRDefault="00953BC5" w:rsidP="00953BC5">
      <w:pPr>
        <w:pStyle w:val="Listenabsatz"/>
        <w:numPr>
          <w:ilvl w:val="0"/>
          <w:numId w:val="33"/>
        </w:numPr>
        <w:contextualSpacing w:val="0"/>
      </w:pPr>
      <w:r>
        <w:t xml:space="preserve">Dokumentation </w:t>
      </w:r>
      <w:r w:rsidRPr="008A3DC8">
        <w:t xml:space="preserve">der </w:t>
      </w:r>
      <w:r>
        <w:t>Notwendigkeit der Inanspruchnahme über Gutschein oder Zuweisung, Angebot der MAG mit Aufforderung der Betriebssuche ggf. in einem festgelegtem Zeitraum,</w:t>
      </w:r>
    </w:p>
    <w:p w:rsidR="00953BC5" w:rsidRDefault="00953BC5" w:rsidP="00953BC5">
      <w:pPr>
        <w:pStyle w:val="Listenabsatz"/>
        <w:numPr>
          <w:ilvl w:val="0"/>
          <w:numId w:val="33"/>
        </w:numPr>
        <w:contextualSpacing w:val="0"/>
      </w:pPr>
      <w:r w:rsidRPr="008A3DC8">
        <w:t xml:space="preserve">Fördercheck </w:t>
      </w:r>
    </w:p>
    <w:p w:rsidR="00953BC5" w:rsidRDefault="00953BC5" w:rsidP="00953BC5">
      <w:pPr>
        <w:pStyle w:val="Listenabsatz"/>
        <w:numPr>
          <w:ilvl w:val="0"/>
          <w:numId w:val="33"/>
        </w:numPr>
        <w:contextualSpacing w:val="0"/>
      </w:pPr>
      <w:r w:rsidRPr="008A3DC8">
        <w:t>C</w:t>
      </w:r>
      <w:r>
        <w:t>OSACH</w:t>
      </w:r>
      <w:r w:rsidRPr="008A3DC8">
        <w:t xml:space="preserve"> Buchung</w:t>
      </w:r>
    </w:p>
    <w:p w:rsidR="00953BC5" w:rsidRDefault="00953BC5" w:rsidP="00953BC5">
      <w:pPr>
        <w:pStyle w:val="Listenabsatz"/>
        <w:numPr>
          <w:ilvl w:val="0"/>
          <w:numId w:val="33"/>
        </w:numPr>
        <w:autoSpaceDE w:val="0"/>
        <w:autoSpaceDN w:val="0"/>
        <w:adjustRightInd w:val="0"/>
        <w:contextualSpacing w:val="0"/>
      </w:pPr>
      <w:r>
        <w:t>Erstellung einer individuellen E</w:t>
      </w:r>
      <w:r w:rsidRPr="008A3DC8">
        <w:t>V</w:t>
      </w:r>
      <w:r>
        <w:t xml:space="preserve">:  </w:t>
      </w:r>
    </w:p>
    <w:p w:rsidR="00953BC5" w:rsidRPr="008A3DC8" w:rsidRDefault="00953BC5" w:rsidP="00953BC5">
      <w:pPr>
        <w:pStyle w:val="Listenabsatz"/>
        <w:autoSpaceDE w:val="0"/>
        <w:autoSpaceDN w:val="0"/>
        <w:adjustRightInd w:val="0"/>
        <w:ind w:left="705"/>
        <w:contextualSpacing w:val="0"/>
      </w:pPr>
      <w:r w:rsidRPr="00B570CB">
        <w:t>Kunde:</w:t>
      </w:r>
      <w:r w:rsidRPr="008A3DC8">
        <w:t xml:space="preserve"> Verpflichtung zur </w:t>
      </w:r>
      <w:r>
        <w:t xml:space="preserve">regelmäßigen </w:t>
      </w:r>
      <w:r w:rsidRPr="008A3DC8">
        <w:t xml:space="preserve">Teilnahme </w:t>
      </w:r>
      <w:r>
        <w:t xml:space="preserve">unter Nennung Arbeitgeber (Beginn und Dauer) </w:t>
      </w:r>
      <w:r w:rsidRPr="008A3DC8">
        <w:t xml:space="preserve"> Mitwirkung, Rückmeldung bei Auffäl</w:t>
      </w:r>
      <w:r>
        <w:t xml:space="preserve">ligkeiten, </w:t>
      </w:r>
    </w:p>
    <w:p w:rsidR="00953BC5" w:rsidRDefault="00953BC5" w:rsidP="00953BC5">
      <w:pPr>
        <w:autoSpaceDE w:val="0"/>
        <w:autoSpaceDN w:val="0"/>
        <w:adjustRightInd w:val="0"/>
        <w:ind w:left="360"/>
      </w:pPr>
      <w:r w:rsidRPr="00B570CB">
        <w:t xml:space="preserve">     JC:</w:t>
      </w:r>
      <w:r>
        <w:t xml:space="preserve"> Kostenübernahme</w:t>
      </w:r>
    </w:p>
    <w:p w:rsidR="00953BC5" w:rsidRDefault="00953BC5" w:rsidP="00953BC5">
      <w:pPr>
        <w:pStyle w:val="Listenabsatz"/>
        <w:numPr>
          <w:ilvl w:val="0"/>
          <w:numId w:val="39"/>
        </w:numPr>
        <w:autoSpaceDE w:val="0"/>
        <w:autoSpaceDN w:val="0"/>
        <w:adjustRightInd w:val="0"/>
      </w:pPr>
      <w:r w:rsidRPr="00D652E4">
        <w:t>Rückmeldung des Kunden vereinbaren</w:t>
      </w:r>
    </w:p>
    <w:p w:rsidR="00953BC5" w:rsidRDefault="00953BC5" w:rsidP="00953BC5">
      <w:pPr>
        <w:autoSpaceDE w:val="0"/>
        <w:autoSpaceDN w:val="0"/>
        <w:adjustRightInd w:val="0"/>
      </w:pPr>
    </w:p>
    <w:p w:rsidR="00953BC5" w:rsidRPr="00D652E4" w:rsidRDefault="00953BC5" w:rsidP="00953BC5">
      <w:pPr>
        <w:autoSpaceDE w:val="0"/>
        <w:autoSpaceDN w:val="0"/>
        <w:adjustRightInd w:val="0"/>
      </w:pPr>
    </w:p>
    <w:p w:rsidR="00953BC5" w:rsidRDefault="00953BC5" w:rsidP="00953BC5">
      <w:pPr>
        <w:pStyle w:val="Listenabsatz"/>
        <w:ind w:left="0"/>
        <w:contextualSpacing w:val="0"/>
        <w:rPr>
          <w:u w:val="single"/>
        </w:rPr>
      </w:pPr>
      <w:r w:rsidRPr="00633C5C">
        <w:rPr>
          <w:u w:val="single"/>
        </w:rPr>
        <w:t>Nach der Maßnahme</w:t>
      </w:r>
    </w:p>
    <w:p w:rsidR="00953BC5" w:rsidRDefault="00953BC5" w:rsidP="00953BC5">
      <w:pPr>
        <w:pStyle w:val="Listenabsatz"/>
        <w:ind w:left="0"/>
        <w:contextualSpacing w:val="0"/>
        <w:rPr>
          <w:u w:val="single"/>
        </w:rPr>
      </w:pPr>
    </w:p>
    <w:p w:rsidR="00953BC5" w:rsidRDefault="00953BC5" w:rsidP="00953BC5">
      <w:pPr>
        <w:pStyle w:val="Listenabsatz"/>
        <w:ind w:left="0"/>
        <w:contextualSpacing w:val="0"/>
      </w:pPr>
      <w:r w:rsidRPr="00633C5C">
        <w:t xml:space="preserve">Verantwortlich AV </w:t>
      </w:r>
    </w:p>
    <w:p w:rsidR="00953BC5" w:rsidRPr="00633C5C" w:rsidRDefault="00953BC5" w:rsidP="00953BC5">
      <w:pPr>
        <w:pStyle w:val="Listenabsatz"/>
        <w:ind w:left="0"/>
        <w:contextualSpacing w:val="0"/>
      </w:pPr>
    </w:p>
    <w:p w:rsidR="00953BC5" w:rsidRPr="00CE2BD1" w:rsidRDefault="00953BC5" w:rsidP="00953BC5">
      <w:pPr>
        <w:pStyle w:val="Listenabsatz"/>
        <w:numPr>
          <w:ilvl w:val="0"/>
          <w:numId w:val="38"/>
        </w:numPr>
      </w:pPr>
      <w:r>
        <w:t>Kundenkontakt/</w:t>
      </w:r>
      <w:r w:rsidRPr="00D652E4">
        <w:t xml:space="preserve"> </w:t>
      </w:r>
      <w:r w:rsidRPr="00CE2BD1">
        <w:t>Vermittlergespräch innerhalb von 1 Woche nach der Maßnahme</w:t>
      </w:r>
    </w:p>
    <w:p w:rsidR="00953BC5" w:rsidRDefault="00953BC5" w:rsidP="00953BC5">
      <w:pPr>
        <w:pStyle w:val="Listenabsatz"/>
        <w:numPr>
          <w:ilvl w:val="0"/>
          <w:numId w:val="39"/>
        </w:numPr>
      </w:pPr>
      <w:r>
        <w:t>Klärung Übernahmemöglichkeiten AG / Gründe gescheiterter Integration</w:t>
      </w:r>
    </w:p>
    <w:p w:rsidR="00953BC5" w:rsidRDefault="00953BC5" w:rsidP="00953BC5">
      <w:pPr>
        <w:pStyle w:val="Listenabsatz"/>
        <w:numPr>
          <w:ilvl w:val="0"/>
          <w:numId w:val="39"/>
        </w:numPr>
      </w:pPr>
      <w:r>
        <w:t>qualifizierte Dokumentation in VERBIS / Bewerberprofil ggf. anpassen</w:t>
      </w:r>
    </w:p>
    <w:p w:rsidR="00953BC5" w:rsidRDefault="00953BC5" w:rsidP="00953BC5">
      <w:pPr>
        <w:pStyle w:val="Listenabsatz"/>
      </w:pPr>
    </w:p>
    <w:p w:rsidR="00953BC5" w:rsidRDefault="00953BC5" w:rsidP="00953BC5">
      <w:pPr>
        <w:pStyle w:val="Listenabsatz"/>
      </w:pPr>
    </w:p>
    <w:p w:rsidR="00953BC5" w:rsidRDefault="00953BC5" w:rsidP="00953BC5">
      <w:pPr>
        <w:pStyle w:val="Listenabsatz"/>
        <w:ind w:left="0"/>
        <w:contextualSpacing w:val="0"/>
        <w:rPr>
          <w:u w:val="single"/>
        </w:rPr>
      </w:pPr>
      <w:r w:rsidRPr="00CE2BD1">
        <w:rPr>
          <w:u w:val="single"/>
        </w:rPr>
        <w:t>Abbruch /Nichtantritt der Maßnahme</w:t>
      </w:r>
    </w:p>
    <w:p w:rsidR="00953BC5" w:rsidRDefault="00953BC5" w:rsidP="00953BC5">
      <w:pPr>
        <w:pStyle w:val="Listenabsatz"/>
        <w:ind w:left="0"/>
        <w:contextualSpacing w:val="0"/>
        <w:rPr>
          <w:u w:val="single"/>
        </w:rPr>
      </w:pPr>
    </w:p>
    <w:p w:rsidR="00953BC5" w:rsidRDefault="00953BC5" w:rsidP="00953BC5">
      <w:pPr>
        <w:pStyle w:val="Listenabsatz"/>
        <w:ind w:left="0"/>
        <w:contextualSpacing w:val="0"/>
      </w:pPr>
      <w:r w:rsidRPr="00CE2BD1">
        <w:t>Verantwortlich AV</w:t>
      </w:r>
    </w:p>
    <w:p w:rsidR="00953BC5" w:rsidRDefault="00953BC5" w:rsidP="00953BC5">
      <w:pPr>
        <w:pStyle w:val="Listenabsatz"/>
        <w:ind w:left="0"/>
        <w:contextualSpacing w:val="0"/>
      </w:pPr>
    </w:p>
    <w:p w:rsidR="00953BC5" w:rsidRDefault="00953BC5" w:rsidP="00953BC5">
      <w:pPr>
        <w:pStyle w:val="Listenabsatz"/>
        <w:numPr>
          <w:ilvl w:val="0"/>
          <w:numId w:val="36"/>
        </w:numPr>
        <w:contextualSpacing w:val="0"/>
      </w:pPr>
      <w:r>
        <w:t xml:space="preserve">Information an Team Integrationsleitungen zur Einstellung der Förderung </w:t>
      </w:r>
    </w:p>
    <w:p w:rsidR="00953BC5" w:rsidRDefault="00953BC5" w:rsidP="00953BC5">
      <w:pPr>
        <w:pStyle w:val="Listenabsatz"/>
        <w:numPr>
          <w:ilvl w:val="0"/>
          <w:numId w:val="36"/>
        </w:numPr>
        <w:contextualSpacing w:val="0"/>
      </w:pPr>
      <w:r>
        <w:t>Information an EZ zur Prüfung „Status“ des Kunden (alo/asu)</w:t>
      </w:r>
    </w:p>
    <w:p w:rsidR="00953BC5" w:rsidRDefault="00953BC5" w:rsidP="00953BC5">
      <w:pPr>
        <w:pStyle w:val="Listenabsatz"/>
        <w:numPr>
          <w:ilvl w:val="0"/>
          <w:numId w:val="36"/>
        </w:numPr>
        <w:contextualSpacing w:val="0"/>
      </w:pPr>
      <w:r>
        <w:t xml:space="preserve">Überprüfung der Gründe und Einleitung weiterer Handlungsbedarfe </w:t>
      </w:r>
    </w:p>
    <w:p w:rsidR="00953BC5" w:rsidRDefault="00953BC5" w:rsidP="00953BC5">
      <w:pPr>
        <w:pStyle w:val="Listenabsatz"/>
        <w:rPr>
          <w:color w:val="000000"/>
        </w:rPr>
      </w:pPr>
    </w:p>
    <w:p w:rsidR="00953BC5" w:rsidRDefault="00953BC5" w:rsidP="00953BC5">
      <w:pPr>
        <w:pStyle w:val="Listenabsatz"/>
        <w:rPr>
          <w:color w:val="000000"/>
        </w:rPr>
      </w:pPr>
    </w:p>
    <w:p w:rsidR="001D611A" w:rsidRPr="00B570CB" w:rsidRDefault="00714F34" w:rsidP="001D611A">
      <w:pPr>
        <w:tabs>
          <w:tab w:val="left" w:pos="3510"/>
        </w:tabs>
        <w:rPr>
          <w:u w:val="single"/>
        </w:rPr>
      </w:pPr>
      <w:r>
        <w:rPr>
          <w:u w:val="single"/>
        </w:rPr>
        <w:t>Controlling und Fachaufsicht MAG</w:t>
      </w:r>
    </w:p>
    <w:p w:rsidR="001D611A" w:rsidRDefault="001D611A" w:rsidP="001D611A">
      <w:pPr>
        <w:pStyle w:val="Listenabsatz"/>
        <w:contextualSpacing w:val="0"/>
      </w:pPr>
    </w:p>
    <w:p w:rsidR="00353F14" w:rsidRPr="00CE2BD1" w:rsidRDefault="00091C6B" w:rsidP="00953BC5">
      <w:pPr>
        <w:pStyle w:val="Listenabsatz"/>
        <w:contextualSpacing w:val="0"/>
      </w:pPr>
      <w:hyperlink w:anchor="Controlling" w:history="1">
        <w:r w:rsidR="001D611A" w:rsidRPr="001D611A">
          <w:rPr>
            <w:rStyle w:val="Hyperlink"/>
          </w:rPr>
          <w:t>Controlling</w:t>
        </w:r>
      </w:hyperlink>
      <w:r w:rsidR="00353F14">
        <w:t xml:space="preserve">       </w:t>
      </w:r>
      <w:hyperlink r:id="rId14" w:history="1">
        <w:r w:rsidR="00353F14" w:rsidRPr="001D611A">
          <w:rPr>
            <w:rStyle w:val="Hyperlink"/>
          </w:rPr>
          <w:t>Fachaufsicht</w:t>
        </w:r>
      </w:hyperlink>
    </w:p>
    <w:p w:rsidR="00953BC5" w:rsidRDefault="00953BC5" w:rsidP="00953BC5">
      <w:pPr>
        <w:pStyle w:val="Listenabsatz"/>
        <w:ind w:left="0"/>
        <w:contextualSpacing w:val="0"/>
      </w:pPr>
    </w:p>
    <w:p w:rsidR="00953BC5" w:rsidRDefault="00953BC5" w:rsidP="00953BC5">
      <w:pPr>
        <w:pStyle w:val="Listenabsatz"/>
        <w:rPr>
          <w:b/>
        </w:rPr>
      </w:pPr>
    </w:p>
    <w:p w:rsidR="00953BC5" w:rsidRDefault="00953BC5" w:rsidP="00953BC5">
      <w:pPr>
        <w:pStyle w:val="Listenabsatz"/>
      </w:pPr>
    </w:p>
    <w:p w:rsidR="00714F34" w:rsidRDefault="00714F34" w:rsidP="00953BC5">
      <w:pPr>
        <w:pStyle w:val="Listenabsatz"/>
        <w:rPr>
          <w:b/>
        </w:rPr>
      </w:pPr>
    </w:p>
    <w:p w:rsidR="00714F34" w:rsidRDefault="00714F34" w:rsidP="00953BC5">
      <w:pPr>
        <w:pStyle w:val="Listenabsatz"/>
        <w:rPr>
          <w:b/>
        </w:rPr>
      </w:pPr>
    </w:p>
    <w:p w:rsidR="00714F34" w:rsidRDefault="00714F34" w:rsidP="00953BC5">
      <w:pPr>
        <w:pStyle w:val="Listenabsatz"/>
        <w:rPr>
          <w:b/>
        </w:rPr>
      </w:pPr>
    </w:p>
    <w:p w:rsidR="00953BC5" w:rsidRDefault="00953BC5" w:rsidP="00953BC5">
      <w:pPr>
        <w:pStyle w:val="Listenabsatz"/>
        <w:rPr>
          <w:b/>
        </w:rPr>
      </w:pPr>
      <w:r w:rsidRPr="00D652E4">
        <w:rPr>
          <w:b/>
        </w:rPr>
        <w:t>2.4. BAE</w:t>
      </w:r>
    </w:p>
    <w:p w:rsidR="00953BC5" w:rsidRDefault="00953BC5" w:rsidP="00953BC5">
      <w:pPr>
        <w:pStyle w:val="Listenabsatz"/>
        <w:rPr>
          <w:b/>
        </w:rPr>
      </w:pPr>
    </w:p>
    <w:p w:rsidR="00953BC5" w:rsidRPr="00EB2900" w:rsidRDefault="00953BC5" w:rsidP="00953BC5">
      <w:r w:rsidRPr="00EB2900">
        <w:t xml:space="preserve">Für die Teilnahme an überbetrieblicher Ausbildung existiert ein </w:t>
      </w:r>
      <w:r w:rsidR="001B5618">
        <w:t>Handlungsleitfaden</w:t>
      </w:r>
      <w:r w:rsidRPr="00EB2900">
        <w:t>, Diese</w:t>
      </w:r>
      <w:r w:rsidR="001B5618">
        <w:t>s</w:t>
      </w:r>
      <w:r w:rsidRPr="00EB2900">
        <w:t xml:space="preserve"> behält seine Gültigkeit und ist weiter zu nutzen: </w:t>
      </w:r>
    </w:p>
    <w:p w:rsidR="00953BC5" w:rsidRDefault="00953BC5" w:rsidP="00953BC5">
      <w:pPr>
        <w:pStyle w:val="Listenabsatz"/>
        <w:rPr>
          <w:b/>
        </w:rPr>
      </w:pPr>
    </w:p>
    <w:p w:rsidR="001B5618" w:rsidRDefault="001B5618" w:rsidP="00953BC5">
      <w:pPr>
        <w:pStyle w:val="Listenabsatz"/>
        <w:rPr>
          <w:b/>
        </w:rPr>
      </w:pPr>
      <w:r w:rsidRPr="001B5618">
        <w:rPr>
          <w:b/>
        </w:rPr>
        <w:t>Strategiepapier:</w:t>
      </w:r>
      <w:r>
        <w:rPr>
          <w:b/>
        </w:rPr>
        <w:t xml:space="preserve">                 </w:t>
      </w:r>
    </w:p>
    <w:p w:rsidR="001B5618" w:rsidRDefault="001B5618" w:rsidP="00953BC5">
      <w:pPr>
        <w:pStyle w:val="Listenabsatz"/>
        <w:rPr>
          <w:b/>
        </w:rPr>
      </w:pPr>
    </w:p>
    <w:p w:rsidR="00953BC5" w:rsidRPr="001B5618" w:rsidRDefault="001B5618" w:rsidP="00953BC5">
      <w:pPr>
        <w:pStyle w:val="Listenabsatz"/>
        <w:rPr>
          <w:b/>
        </w:rPr>
      </w:pPr>
      <w:r>
        <w:rPr>
          <w:b/>
        </w:rPr>
        <w:t xml:space="preserve">    </w:t>
      </w:r>
      <w:r w:rsidRPr="00051F7E">
        <w:rPr>
          <w:b/>
        </w:rPr>
        <w:object w:dxaOrig="1537" w:dyaOrig="995">
          <v:shape id="_x0000_i1026" type="#_x0000_t75" style="width:76.5pt;height:49.5pt" o:ole="">
            <v:imagedata r:id="rId15" o:title=""/>
          </v:shape>
          <o:OLEObject Type="Embed" ProgID="AcroExch.Document.7" ShapeID="_x0000_i1026" DrawAspect="Icon" ObjectID="_1397285467" r:id="rId16"/>
        </w:object>
      </w:r>
    </w:p>
    <w:p w:rsidR="001B5618" w:rsidRDefault="001B5618" w:rsidP="00953BC5">
      <w:pPr>
        <w:pStyle w:val="Listenabsatz"/>
      </w:pPr>
    </w:p>
    <w:p w:rsidR="001B5618" w:rsidRDefault="001B5618" w:rsidP="00953BC5">
      <w:pPr>
        <w:pStyle w:val="Listenabsatz"/>
      </w:pPr>
    </w:p>
    <w:p w:rsidR="001B5618" w:rsidRPr="001B5618" w:rsidRDefault="001B5618" w:rsidP="00953BC5">
      <w:pPr>
        <w:pStyle w:val="Listenabsatz"/>
        <w:rPr>
          <w:b/>
        </w:rPr>
      </w:pPr>
      <w:r w:rsidRPr="001B5618">
        <w:rPr>
          <w:b/>
        </w:rPr>
        <w:t>Prüfbögen:</w:t>
      </w:r>
    </w:p>
    <w:p w:rsidR="001B5618" w:rsidRDefault="001B5618" w:rsidP="00953BC5">
      <w:pPr>
        <w:pStyle w:val="Listenabsatz"/>
      </w:pPr>
    </w:p>
    <w:p w:rsidR="001B5618" w:rsidRDefault="001B5618" w:rsidP="00953BC5">
      <w:pPr>
        <w:pStyle w:val="Listenabsatz"/>
      </w:pPr>
    </w:p>
    <w:p w:rsidR="001B5618" w:rsidRDefault="001B5618" w:rsidP="00953BC5">
      <w:pPr>
        <w:pStyle w:val="Listenabsatz"/>
      </w:pPr>
      <w:r>
        <w:object w:dxaOrig="1537" w:dyaOrig="995">
          <v:shape id="_x0000_i1027" type="#_x0000_t75" style="width:76.5pt;height:49.5pt" o:ole="">
            <v:imagedata r:id="rId17" o:title=""/>
          </v:shape>
          <o:OLEObject Type="Embed" ProgID="AcroExch.Document.7" ShapeID="_x0000_i1027" DrawAspect="Icon" ObjectID="_1397285468" r:id="rId18"/>
        </w:object>
      </w:r>
      <w:r>
        <w:t xml:space="preserve">         </w:t>
      </w:r>
      <w:r>
        <w:object w:dxaOrig="1537" w:dyaOrig="995">
          <v:shape id="_x0000_i1028" type="#_x0000_t75" style="width:76.5pt;height:49.5pt" o:ole="">
            <v:imagedata r:id="rId19" o:title=""/>
          </v:shape>
          <o:OLEObject Type="Embed" ProgID="AcroExch.Document.7" ShapeID="_x0000_i1028" DrawAspect="Icon" ObjectID="_1397285469" r:id="rId20"/>
        </w:object>
      </w:r>
    </w:p>
    <w:p w:rsidR="001B5618" w:rsidRDefault="001B5618" w:rsidP="00953BC5">
      <w:pPr>
        <w:pStyle w:val="Listenabsatz"/>
      </w:pPr>
    </w:p>
    <w:p w:rsidR="001D611A" w:rsidRPr="00B570CB" w:rsidRDefault="001D611A" w:rsidP="001D611A">
      <w:pPr>
        <w:tabs>
          <w:tab w:val="left" w:pos="3510"/>
        </w:tabs>
        <w:rPr>
          <w:u w:val="single"/>
        </w:rPr>
      </w:pPr>
      <w:r w:rsidRPr="001D611A">
        <w:rPr>
          <w:u w:val="single"/>
        </w:rPr>
        <w:t xml:space="preserve">Controlling </w:t>
      </w:r>
      <w:r w:rsidR="00714F34">
        <w:rPr>
          <w:u w:val="single"/>
        </w:rPr>
        <w:t>BaE</w:t>
      </w:r>
    </w:p>
    <w:p w:rsidR="001D611A" w:rsidRDefault="001D611A" w:rsidP="001D611A">
      <w:pPr>
        <w:pStyle w:val="Listenabsatz"/>
        <w:contextualSpacing w:val="0"/>
      </w:pPr>
    </w:p>
    <w:p w:rsidR="00953BC5" w:rsidRDefault="00091C6B" w:rsidP="001D611A">
      <w:pPr>
        <w:pStyle w:val="Listenabsatz"/>
      </w:pPr>
      <w:hyperlink w:anchor="Controlling" w:history="1">
        <w:r w:rsidR="001D611A" w:rsidRPr="001D611A">
          <w:rPr>
            <w:rStyle w:val="Hyperlink"/>
          </w:rPr>
          <w:t>Controlling</w:t>
        </w:r>
      </w:hyperlink>
    </w:p>
    <w:p w:rsidR="00953BC5" w:rsidRDefault="00953BC5" w:rsidP="00953BC5">
      <w:pPr>
        <w:pStyle w:val="Listenabsatz"/>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pPr>
    </w:p>
    <w:p w:rsidR="005F44A3" w:rsidRDefault="005F44A3" w:rsidP="00472DDE">
      <w:pPr>
        <w:pStyle w:val="Listenabsatz"/>
        <w:ind w:left="0"/>
        <w:contextualSpacing w:val="0"/>
      </w:pPr>
    </w:p>
    <w:sectPr w:rsidR="005F44A3" w:rsidSect="005F44A3">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8A1" w:rsidRDefault="004858A1" w:rsidP="005F44A3">
      <w:r>
        <w:separator/>
      </w:r>
    </w:p>
  </w:endnote>
  <w:endnote w:type="continuationSeparator" w:id="0">
    <w:p w:rsidR="004858A1" w:rsidRDefault="004858A1" w:rsidP="005F44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39128"/>
      <w:docPartObj>
        <w:docPartGallery w:val="Page Numbers (Bottom of Page)"/>
        <w:docPartUnique/>
      </w:docPartObj>
    </w:sdtPr>
    <w:sdtEndPr>
      <w:rPr>
        <w:sz w:val="20"/>
        <w:szCs w:val="20"/>
      </w:rPr>
    </w:sdtEndPr>
    <w:sdtContent>
      <w:p w:rsidR="005F44A3" w:rsidRDefault="00091C6B">
        <w:pPr>
          <w:pStyle w:val="Fuzeile"/>
          <w:jc w:val="right"/>
        </w:pPr>
        <w:r w:rsidRPr="002A01F1">
          <w:rPr>
            <w:sz w:val="20"/>
            <w:szCs w:val="20"/>
          </w:rPr>
          <w:fldChar w:fldCharType="begin"/>
        </w:r>
        <w:r w:rsidR="002E0076" w:rsidRPr="002A01F1">
          <w:rPr>
            <w:sz w:val="20"/>
            <w:szCs w:val="20"/>
          </w:rPr>
          <w:instrText xml:space="preserve"> PAGE   \* MERGEFORMAT </w:instrText>
        </w:r>
        <w:r w:rsidRPr="002A01F1">
          <w:rPr>
            <w:sz w:val="20"/>
            <w:szCs w:val="20"/>
          </w:rPr>
          <w:fldChar w:fldCharType="separate"/>
        </w:r>
        <w:r w:rsidR="005E23B8">
          <w:rPr>
            <w:noProof/>
            <w:sz w:val="20"/>
            <w:szCs w:val="20"/>
          </w:rPr>
          <w:t>7</w:t>
        </w:r>
        <w:r w:rsidRPr="002A01F1">
          <w:rPr>
            <w:sz w:val="20"/>
            <w:szCs w:val="20"/>
          </w:rPr>
          <w:fldChar w:fldCharType="end"/>
        </w:r>
      </w:p>
    </w:sdtContent>
  </w:sdt>
  <w:p w:rsidR="005F44A3" w:rsidRDefault="005F44A3">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8A1" w:rsidRDefault="004858A1" w:rsidP="005F44A3">
      <w:r>
        <w:separator/>
      </w:r>
    </w:p>
  </w:footnote>
  <w:footnote w:type="continuationSeparator" w:id="0">
    <w:p w:rsidR="004858A1" w:rsidRDefault="004858A1" w:rsidP="005F44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4A3" w:rsidRDefault="005F44A3">
    <w:pPr>
      <w:pStyle w:val="Kopfzeile"/>
    </w:pPr>
    <w:r w:rsidRPr="005F44A3">
      <w:rPr>
        <w:noProof/>
      </w:rPr>
      <w:drawing>
        <wp:inline distT="0" distB="0" distL="0" distR="0">
          <wp:extent cx="1505817" cy="307550"/>
          <wp:effectExtent l="19050" t="0" r="0" b="0"/>
          <wp:docPr id="5"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5F44A3">
      <w:rPr>
        <w:noProof/>
      </w:rPr>
      <w:drawing>
        <wp:inline distT="0" distB="0" distL="0" distR="0">
          <wp:extent cx="3552825" cy="314325"/>
          <wp:effectExtent l="19050" t="0" r="0" b="0"/>
          <wp:docPr id="7"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5F44A3">
      <w:rPr>
        <w:noProof/>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6.75pt;height:6.7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2FD16CA"/>
    <w:multiLevelType w:val="hybridMultilevel"/>
    <w:tmpl w:val="D8E0AE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33A1CB8"/>
    <w:multiLevelType w:val="hybridMultilevel"/>
    <w:tmpl w:val="0AE8DC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9">
    <w:nsid w:val="2F7D155E"/>
    <w:multiLevelType w:val="hybridMultilevel"/>
    <w:tmpl w:val="626A0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0106F5F"/>
    <w:multiLevelType w:val="hybridMultilevel"/>
    <w:tmpl w:val="31B673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nsid w:val="59990E21"/>
    <w:multiLevelType w:val="hybridMultilevel"/>
    <w:tmpl w:val="41AE0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01000E0"/>
    <w:multiLevelType w:val="multilevel"/>
    <w:tmpl w:val="E64213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6F457A54"/>
    <w:multiLevelType w:val="hybridMultilevel"/>
    <w:tmpl w:val="76424C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B1F2974"/>
    <w:multiLevelType w:val="hybridMultilevel"/>
    <w:tmpl w:val="55506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3"/>
  </w:num>
  <w:num w:numId="4">
    <w:abstractNumId w:val="8"/>
  </w:num>
  <w:num w:numId="5">
    <w:abstractNumId w:val="2"/>
  </w:num>
  <w:num w:numId="6">
    <w:abstractNumId w:val="2"/>
  </w:num>
  <w:num w:numId="7">
    <w:abstractNumId w:val="1"/>
  </w:num>
  <w:num w:numId="8">
    <w:abstractNumId w:val="1"/>
  </w:num>
  <w:num w:numId="9">
    <w:abstractNumId w:val="0"/>
  </w:num>
  <w:num w:numId="10">
    <w:abstractNumId w:val="0"/>
  </w:num>
  <w:num w:numId="11">
    <w:abstractNumId w:val="11"/>
  </w:num>
  <w:num w:numId="12">
    <w:abstractNumId w:val="8"/>
  </w:num>
  <w:num w:numId="13">
    <w:abstractNumId w:val="2"/>
  </w:num>
  <w:num w:numId="14">
    <w:abstractNumId w:val="1"/>
  </w:num>
  <w:num w:numId="15">
    <w:abstractNumId w:val="0"/>
  </w:num>
  <w:num w:numId="16">
    <w:abstractNumId w:val="11"/>
  </w:num>
  <w:num w:numId="17">
    <w:abstractNumId w:val="8"/>
  </w:num>
  <w:num w:numId="18">
    <w:abstractNumId w:val="2"/>
  </w:num>
  <w:num w:numId="19">
    <w:abstractNumId w:val="1"/>
  </w:num>
  <w:num w:numId="20">
    <w:abstractNumId w:val="0"/>
  </w:num>
  <w:num w:numId="21">
    <w:abstractNumId w:val="11"/>
  </w:num>
  <w:num w:numId="22">
    <w:abstractNumId w:val="8"/>
  </w:num>
  <w:num w:numId="23">
    <w:abstractNumId w:val="2"/>
  </w:num>
  <w:num w:numId="24">
    <w:abstractNumId w:val="1"/>
  </w:num>
  <w:num w:numId="25">
    <w:abstractNumId w:val="0"/>
  </w:num>
  <w:num w:numId="26">
    <w:abstractNumId w:val="11"/>
  </w:num>
  <w:num w:numId="27">
    <w:abstractNumId w:val="8"/>
  </w:num>
  <w:num w:numId="28">
    <w:abstractNumId w:val="2"/>
  </w:num>
  <w:num w:numId="29">
    <w:abstractNumId w:val="1"/>
  </w:num>
  <w:num w:numId="30">
    <w:abstractNumId w:val="0"/>
  </w:num>
  <w:num w:numId="31">
    <w:abstractNumId w:val="5"/>
  </w:num>
  <w:num w:numId="32">
    <w:abstractNumId w:val="13"/>
  </w:num>
  <w:num w:numId="33">
    <w:abstractNumId w:val="9"/>
  </w:num>
  <w:num w:numId="34">
    <w:abstractNumId w:val="6"/>
  </w:num>
  <w:num w:numId="35">
    <w:abstractNumId w:val="12"/>
  </w:num>
  <w:num w:numId="36">
    <w:abstractNumId w:val="14"/>
  </w:num>
  <w:num w:numId="37">
    <w:abstractNumId w:val="15"/>
  </w:num>
  <w:num w:numId="38">
    <w:abstractNumId w:val="7"/>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95B2C"/>
    <w:rsid w:val="00051F7E"/>
    <w:rsid w:val="000821F4"/>
    <w:rsid w:val="00091C6B"/>
    <w:rsid w:val="000A4DA9"/>
    <w:rsid w:val="001B5618"/>
    <w:rsid w:val="001D611A"/>
    <w:rsid w:val="002155B6"/>
    <w:rsid w:val="002A01F1"/>
    <w:rsid w:val="002E0076"/>
    <w:rsid w:val="00353F14"/>
    <w:rsid w:val="00411251"/>
    <w:rsid w:val="0041163E"/>
    <w:rsid w:val="00425B6F"/>
    <w:rsid w:val="00472DDE"/>
    <w:rsid w:val="004858A1"/>
    <w:rsid w:val="00573644"/>
    <w:rsid w:val="005A6529"/>
    <w:rsid w:val="005D5FDB"/>
    <w:rsid w:val="005E23B8"/>
    <w:rsid w:val="005F44A3"/>
    <w:rsid w:val="005F6EBB"/>
    <w:rsid w:val="006375C0"/>
    <w:rsid w:val="00643E50"/>
    <w:rsid w:val="00714F34"/>
    <w:rsid w:val="00736B52"/>
    <w:rsid w:val="007D1808"/>
    <w:rsid w:val="008109C8"/>
    <w:rsid w:val="008401AF"/>
    <w:rsid w:val="00844036"/>
    <w:rsid w:val="00953BC5"/>
    <w:rsid w:val="009F0DF1"/>
    <w:rsid w:val="00A926A4"/>
    <w:rsid w:val="00B85039"/>
    <w:rsid w:val="00B93D58"/>
    <w:rsid w:val="00C56D91"/>
    <w:rsid w:val="00CA7BAD"/>
    <w:rsid w:val="00D03298"/>
    <w:rsid w:val="00D95B2C"/>
    <w:rsid w:val="00DE6D18"/>
    <w:rsid w:val="00ED6F09"/>
    <w:rsid w:val="00FE168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semiHidden/>
    <w:unhideWhenUsed/>
    <w:rsid w:val="005F44A3"/>
    <w:pPr>
      <w:tabs>
        <w:tab w:val="center" w:pos="4536"/>
        <w:tab w:val="right" w:pos="9072"/>
      </w:tabs>
    </w:pPr>
  </w:style>
  <w:style w:type="character" w:customStyle="1" w:styleId="KopfzeileZchn">
    <w:name w:val="Kopfzeile Zchn"/>
    <w:basedOn w:val="Absatz-Standardschriftart"/>
    <w:link w:val="Kopfzeile"/>
    <w:uiPriority w:val="99"/>
    <w:semiHidden/>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 w:type="paragraph" w:customStyle="1" w:styleId="Default">
    <w:name w:val="Default"/>
    <w:rsid w:val="00953BC5"/>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0821F4"/>
    <w:rPr>
      <w:color w:val="0000FF" w:themeColor="hyperlink"/>
      <w:u w:val="single"/>
    </w:rPr>
  </w:style>
  <w:style w:type="character" w:styleId="BesuchterHyperlink">
    <w:name w:val="FollowedHyperlink"/>
    <w:basedOn w:val="Absatz-Standardschriftart"/>
    <w:uiPriority w:val="99"/>
    <w:semiHidden/>
    <w:unhideWhenUsed/>
    <w:rsid w:val="000821F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8122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file:///N:\Ablagen\D03506-IKS\IKS_Datenbank\Fachaufsicht\Arbeitsvermittlung\MAT" TargetMode="External"/><Relationship Id="rId18" Type="http://schemas.openxmlformats.org/officeDocument/2006/relationships/oleObject" Target="embeddings/oleObject3.bin"/><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png"/><Relationship Id="rId12" Type="http://schemas.openxmlformats.org/officeDocument/2006/relationships/hyperlink" Target="file:///N:\Ablagen\D03506-IKS\IKS_Datenbank\Fachaufsicht\Arbeitsvermittlung\BGS" TargetMode="External"/><Relationship Id="rId17" Type="http://schemas.openxmlformats.org/officeDocument/2006/relationships/image" Target="media/image6.emf"/><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N:\Ablagen\D03506-Jobcenter-OSL\1_JC_OSL_neu\J1_Datenqualit&#228;ts-Management\J14_DORA\DORA-Abfragebeschreibungen\Beschr.DORA_204.pdf"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file:///N:\Ablagen\D03506-IKS\IKS_Datenbank\Fachaufsicht\Arbeitsvermittlung\MAG"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1506</Words>
  <Characters>9491</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10976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PatanR</dc:creator>
  <cp:keywords/>
  <dc:description/>
  <cp:lastModifiedBy>patanr</cp:lastModifiedBy>
  <cp:revision>10</cp:revision>
  <cp:lastPrinted>2012-04-30T08:04:00Z</cp:lastPrinted>
  <dcterms:created xsi:type="dcterms:W3CDTF">2012-04-30T06:39:00Z</dcterms:created>
  <dcterms:modified xsi:type="dcterms:W3CDTF">2012-04-30T08:04:00Z</dcterms:modified>
</cp:coreProperties>
</file>