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CAE" w:rsidRDefault="00CD1CAE" w:rsidP="00CD1CAE">
      <w:pPr>
        <w:pStyle w:val="Default"/>
        <w:rPr>
          <w:rFonts w:cstheme="minorBidi"/>
          <w:color w:val="auto"/>
          <w:sz w:val="22"/>
          <w:szCs w:val="22"/>
        </w:rPr>
      </w:pPr>
    </w:p>
    <w:p w:rsidR="002217B3" w:rsidRPr="00D336C0" w:rsidRDefault="002217B3" w:rsidP="00CD1CAE">
      <w:pPr>
        <w:pStyle w:val="Default"/>
        <w:jc w:val="center"/>
        <w:rPr>
          <w:sz w:val="32"/>
          <w:szCs w:val="32"/>
        </w:rPr>
      </w:pPr>
      <w:r w:rsidRPr="00D336C0">
        <w:rPr>
          <w:b/>
          <w:bCs/>
          <w:sz w:val="32"/>
          <w:szCs w:val="32"/>
        </w:rPr>
        <w:t>Merkblatt über Zulässigkeit und Umfang</w:t>
      </w:r>
    </w:p>
    <w:p w:rsidR="002217B3" w:rsidRPr="00D336C0" w:rsidRDefault="002217B3" w:rsidP="00CD1CAE">
      <w:pPr>
        <w:pStyle w:val="Default"/>
        <w:jc w:val="center"/>
        <w:rPr>
          <w:b/>
          <w:bCs/>
          <w:sz w:val="32"/>
          <w:szCs w:val="32"/>
        </w:rPr>
      </w:pPr>
      <w:r w:rsidRPr="00D336C0">
        <w:rPr>
          <w:b/>
          <w:bCs/>
          <w:sz w:val="32"/>
          <w:szCs w:val="32"/>
        </w:rPr>
        <w:t>von Notwehrhandlungen</w:t>
      </w:r>
    </w:p>
    <w:p w:rsidR="00CD1CAE" w:rsidRDefault="00CD1CAE" w:rsidP="00CD1CAE">
      <w:pPr>
        <w:pStyle w:val="Default"/>
        <w:jc w:val="center"/>
        <w:rPr>
          <w:sz w:val="20"/>
          <w:szCs w:val="20"/>
        </w:rPr>
      </w:pPr>
    </w:p>
    <w:p w:rsidR="002217B3" w:rsidRDefault="002217B3" w:rsidP="00CD1CAE">
      <w:pPr>
        <w:pStyle w:val="Default"/>
        <w:spacing w:line="276" w:lineRule="auto"/>
        <w:rPr>
          <w:sz w:val="22"/>
          <w:szCs w:val="22"/>
        </w:rPr>
      </w:pPr>
      <w:r>
        <w:rPr>
          <w:sz w:val="22"/>
          <w:szCs w:val="22"/>
        </w:rPr>
        <w:t xml:space="preserve">Notwehr (§ 32 StGB) </w:t>
      </w:r>
    </w:p>
    <w:p w:rsidR="00CD1CAE" w:rsidRDefault="00CD1CAE" w:rsidP="00CD1CAE">
      <w:pPr>
        <w:pStyle w:val="Default"/>
        <w:spacing w:line="276" w:lineRule="auto"/>
        <w:rPr>
          <w:sz w:val="22"/>
          <w:szCs w:val="22"/>
        </w:rPr>
      </w:pPr>
    </w:p>
    <w:p w:rsidR="002217B3" w:rsidRDefault="002217B3" w:rsidP="00CD1CAE">
      <w:pPr>
        <w:pStyle w:val="Default"/>
        <w:spacing w:after="174" w:line="276" w:lineRule="auto"/>
        <w:rPr>
          <w:sz w:val="20"/>
          <w:szCs w:val="20"/>
        </w:rPr>
      </w:pPr>
      <w:r>
        <w:rPr>
          <w:sz w:val="22"/>
          <w:szCs w:val="22"/>
        </w:rPr>
        <w:t xml:space="preserve">1. </w:t>
      </w:r>
      <w:r>
        <w:rPr>
          <w:sz w:val="20"/>
          <w:szCs w:val="20"/>
        </w:rPr>
        <w:t xml:space="preserve">Auch eine Notwehrhandlung </w:t>
      </w:r>
      <w:r>
        <w:rPr>
          <w:b/>
          <w:bCs/>
          <w:sz w:val="20"/>
          <w:szCs w:val="20"/>
        </w:rPr>
        <w:t xml:space="preserve">erfüllt den jeweils eingreifenden Straftatbestand </w:t>
      </w:r>
      <w:r>
        <w:rPr>
          <w:sz w:val="20"/>
          <w:szCs w:val="20"/>
        </w:rPr>
        <w:t xml:space="preserve">(z.B. Körperverletzung, §§ 223, 223a StGB). Das Vorhandensein der Notwehrlage </w:t>
      </w:r>
      <w:r w:rsidR="00CD1CAE">
        <w:rPr>
          <w:sz w:val="20"/>
          <w:szCs w:val="20"/>
        </w:rPr>
        <w:t>lässt</w:t>
      </w:r>
      <w:r>
        <w:rPr>
          <w:sz w:val="20"/>
          <w:szCs w:val="20"/>
        </w:rPr>
        <w:t xml:space="preserve"> </w:t>
      </w:r>
      <w:r>
        <w:rPr>
          <w:b/>
          <w:bCs/>
          <w:sz w:val="20"/>
          <w:szCs w:val="20"/>
        </w:rPr>
        <w:t xml:space="preserve">lediglich </w:t>
      </w:r>
      <w:r>
        <w:rPr>
          <w:sz w:val="20"/>
          <w:szCs w:val="20"/>
        </w:rPr>
        <w:t xml:space="preserve">die Rechtswidrigkeit der Tat entfallen (§ 32 Abs. 1 StGB), so </w:t>
      </w:r>
      <w:r w:rsidR="00CD1CAE">
        <w:rPr>
          <w:sz w:val="20"/>
          <w:szCs w:val="20"/>
        </w:rPr>
        <w:t>dass</w:t>
      </w:r>
      <w:r>
        <w:rPr>
          <w:sz w:val="20"/>
          <w:szCs w:val="20"/>
        </w:rPr>
        <w:t xml:space="preserve"> die Tat </w:t>
      </w:r>
      <w:r>
        <w:rPr>
          <w:b/>
          <w:bCs/>
          <w:sz w:val="20"/>
          <w:szCs w:val="20"/>
        </w:rPr>
        <w:t xml:space="preserve">nicht strafbar </w:t>
      </w:r>
      <w:r>
        <w:rPr>
          <w:sz w:val="20"/>
          <w:szCs w:val="20"/>
        </w:rPr>
        <w:t xml:space="preserve">ist. </w:t>
      </w:r>
    </w:p>
    <w:p w:rsidR="00CD1CAE" w:rsidRDefault="002217B3" w:rsidP="00CD1CAE">
      <w:pPr>
        <w:pStyle w:val="Default"/>
        <w:spacing w:after="162" w:line="276" w:lineRule="auto"/>
        <w:rPr>
          <w:sz w:val="20"/>
          <w:szCs w:val="20"/>
        </w:rPr>
      </w:pPr>
      <w:r>
        <w:rPr>
          <w:sz w:val="22"/>
          <w:szCs w:val="22"/>
        </w:rPr>
        <w:t xml:space="preserve">2. </w:t>
      </w:r>
      <w:r>
        <w:rPr>
          <w:b/>
          <w:bCs/>
          <w:sz w:val="20"/>
          <w:szCs w:val="20"/>
        </w:rPr>
        <w:t xml:space="preserve">Notwehr </w:t>
      </w:r>
      <w:r>
        <w:rPr>
          <w:sz w:val="20"/>
          <w:szCs w:val="20"/>
        </w:rPr>
        <w:t xml:space="preserve">ist die Verteidigung, die erforderlich und geboten ist, um einen gegenwärtigen rechtswidrigen Angriff von sich oder einem anderen abzuwenden (§ 32 StGB). Hierbei ist folgendes zu beachten: </w:t>
      </w:r>
    </w:p>
    <w:p w:rsidR="00CD1CAE" w:rsidRDefault="002217B3" w:rsidP="00CD1CAE">
      <w:pPr>
        <w:pStyle w:val="Default"/>
        <w:spacing w:after="162" w:line="276" w:lineRule="auto"/>
        <w:ind w:left="708"/>
        <w:rPr>
          <w:sz w:val="20"/>
          <w:szCs w:val="20"/>
        </w:rPr>
      </w:pPr>
      <w:r>
        <w:rPr>
          <w:sz w:val="20"/>
          <w:szCs w:val="20"/>
        </w:rPr>
        <w:t xml:space="preserve">a) </w:t>
      </w:r>
      <w:r>
        <w:rPr>
          <w:b/>
          <w:bCs/>
          <w:sz w:val="20"/>
          <w:szCs w:val="20"/>
        </w:rPr>
        <w:t xml:space="preserve">Zulässiger Zeitpunkt </w:t>
      </w:r>
      <w:r>
        <w:rPr>
          <w:sz w:val="20"/>
          <w:szCs w:val="20"/>
        </w:rPr>
        <w:t xml:space="preserve">einer Notwehrhandlung </w:t>
      </w:r>
    </w:p>
    <w:p w:rsidR="002217B3" w:rsidRDefault="002217B3" w:rsidP="00CD1CAE">
      <w:pPr>
        <w:pStyle w:val="Default"/>
        <w:spacing w:after="162" w:line="276" w:lineRule="auto"/>
        <w:ind w:left="708"/>
        <w:rPr>
          <w:sz w:val="20"/>
          <w:szCs w:val="20"/>
        </w:rPr>
      </w:pPr>
      <w:r>
        <w:rPr>
          <w:sz w:val="20"/>
          <w:szCs w:val="20"/>
        </w:rPr>
        <w:t xml:space="preserve">Notwehr ist lediglich zulässig von dem Moment an, wo ein Angriff unmittelbar bevorsteht (weil der Gegner schon erkennbare Anstalten macht, zum Angriff überzugehen), bis zu seinem endgültigen </w:t>
      </w:r>
      <w:r w:rsidR="00CD1CAE">
        <w:rPr>
          <w:sz w:val="20"/>
          <w:szCs w:val="20"/>
        </w:rPr>
        <w:t>Abschluss</w:t>
      </w:r>
      <w:r>
        <w:rPr>
          <w:sz w:val="20"/>
          <w:szCs w:val="20"/>
        </w:rPr>
        <w:t xml:space="preserve">. Handlungen, die vor oder nach diesem Zeitpunkt erfolgen, sind strafbar. Nicht mehr zulässig sind insbesondere Handlungen, die erfolgen, wenn keine Fortsetzung des Angriffs mehr zu befürchten oder die Verletzung endgültig eingetreten ist und weiterer Schaden nicht mehr abgewendet werden kann. </w:t>
      </w:r>
    </w:p>
    <w:p w:rsidR="00CD1CAE" w:rsidRDefault="002217B3" w:rsidP="00CD1CAE">
      <w:pPr>
        <w:pStyle w:val="Default"/>
        <w:spacing w:line="276" w:lineRule="auto"/>
        <w:ind w:left="708"/>
        <w:rPr>
          <w:sz w:val="20"/>
          <w:szCs w:val="20"/>
        </w:rPr>
      </w:pPr>
      <w:r>
        <w:rPr>
          <w:sz w:val="20"/>
          <w:szCs w:val="20"/>
        </w:rPr>
        <w:t xml:space="preserve">b) </w:t>
      </w:r>
      <w:r>
        <w:rPr>
          <w:b/>
          <w:bCs/>
          <w:sz w:val="20"/>
          <w:szCs w:val="20"/>
        </w:rPr>
        <w:t xml:space="preserve">Zulässiger Umfang </w:t>
      </w:r>
      <w:r>
        <w:rPr>
          <w:sz w:val="20"/>
          <w:szCs w:val="20"/>
        </w:rPr>
        <w:t>einer Notwehrhandlung</w:t>
      </w:r>
    </w:p>
    <w:p w:rsidR="00CD1CAE" w:rsidRDefault="00CD1CAE" w:rsidP="00CD1CAE">
      <w:pPr>
        <w:pStyle w:val="Default"/>
        <w:spacing w:line="276" w:lineRule="auto"/>
        <w:ind w:left="708"/>
        <w:rPr>
          <w:sz w:val="20"/>
          <w:szCs w:val="20"/>
        </w:rPr>
      </w:pPr>
    </w:p>
    <w:p w:rsidR="00CD1CAE" w:rsidRDefault="002217B3" w:rsidP="00CD1CAE">
      <w:pPr>
        <w:pStyle w:val="Default"/>
        <w:spacing w:line="276" w:lineRule="auto"/>
        <w:ind w:left="1416"/>
        <w:rPr>
          <w:sz w:val="20"/>
          <w:szCs w:val="20"/>
        </w:rPr>
      </w:pPr>
      <w:r>
        <w:rPr>
          <w:sz w:val="20"/>
          <w:szCs w:val="20"/>
        </w:rPr>
        <w:t xml:space="preserve">(1) Grundsätzlich darf diejenige Verteidigungshandlung gewählt werden, welche die sofortige Beendigung oder Abschwächung des Angriffs erwarten </w:t>
      </w:r>
      <w:r w:rsidR="00CD1CAE">
        <w:rPr>
          <w:sz w:val="20"/>
          <w:szCs w:val="20"/>
        </w:rPr>
        <w:t>lässt</w:t>
      </w:r>
      <w:r>
        <w:rPr>
          <w:sz w:val="20"/>
          <w:szCs w:val="20"/>
        </w:rPr>
        <w:t xml:space="preserve"> und damit die endgültige Beseitigung oder Verringerung der Gefahr gewährleistet. Dies richtet sich nach objektiven Maßstäben. Zwischen dem Angriff und seiner Abwehr </w:t>
      </w:r>
      <w:r w:rsidR="00CD1CAE">
        <w:rPr>
          <w:sz w:val="20"/>
          <w:szCs w:val="20"/>
        </w:rPr>
        <w:t>muss</w:t>
      </w:r>
      <w:r>
        <w:rPr>
          <w:sz w:val="20"/>
          <w:szCs w:val="20"/>
        </w:rPr>
        <w:t xml:space="preserve"> jedoch </w:t>
      </w:r>
      <w:r>
        <w:rPr>
          <w:b/>
          <w:bCs/>
          <w:sz w:val="20"/>
          <w:szCs w:val="20"/>
        </w:rPr>
        <w:t xml:space="preserve">Verhältnismäßigkeit </w:t>
      </w:r>
      <w:r>
        <w:rPr>
          <w:sz w:val="20"/>
          <w:szCs w:val="20"/>
        </w:rPr>
        <w:t xml:space="preserve">bestehen. Dies bedeutet zwar nicht, </w:t>
      </w:r>
      <w:r w:rsidR="00CD1CAE">
        <w:rPr>
          <w:sz w:val="20"/>
          <w:szCs w:val="20"/>
        </w:rPr>
        <w:t>dass</w:t>
      </w:r>
      <w:r>
        <w:rPr>
          <w:sz w:val="20"/>
          <w:szCs w:val="20"/>
        </w:rPr>
        <w:t xml:space="preserve"> der Angegriffene sich auf das Risiko einer ungenügenden Abwehrhandlung einlassen </w:t>
      </w:r>
      <w:r w:rsidR="00CD1CAE">
        <w:rPr>
          <w:sz w:val="20"/>
          <w:szCs w:val="20"/>
        </w:rPr>
        <w:t>muss</w:t>
      </w:r>
      <w:r>
        <w:rPr>
          <w:sz w:val="20"/>
          <w:szCs w:val="20"/>
        </w:rPr>
        <w:t xml:space="preserve">, er </w:t>
      </w:r>
      <w:r w:rsidR="00CD1CAE">
        <w:rPr>
          <w:sz w:val="20"/>
          <w:szCs w:val="20"/>
        </w:rPr>
        <w:t>muss</w:t>
      </w:r>
      <w:r>
        <w:rPr>
          <w:sz w:val="20"/>
          <w:szCs w:val="20"/>
        </w:rPr>
        <w:t xml:space="preserve"> aber bei der Abwehr </w:t>
      </w:r>
      <w:r>
        <w:rPr>
          <w:b/>
          <w:bCs/>
          <w:sz w:val="20"/>
          <w:szCs w:val="20"/>
        </w:rPr>
        <w:t xml:space="preserve">das am wenigsten schädliche oder gefährliche Mittel </w:t>
      </w:r>
      <w:r>
        <w:rPr>
          <w:sz w:val="20"/>
          <w:szCs w:val="20"/>
        </w:rPr>
        <w:t>anwenden. Welches das am wenigsten schädliche bzw. gefährliche Mittel ist, richtet sich nach den Umständen des konkreten Falls. Zu berücksichtigen sind u.a. Stärke, Hartnäckigkeit und Gefährlichkeit des Angriffs, insbesondere die vom Angreifer eingesetzten Mittel und die Bewaffnung des Angreifers sowie auf der anderen Seite die Abwehrmittel, die dem Angegriffenen in der konkreten Lage zur Verfügung stehen.</w:t>
      </w:r>
    </w:p>
    <w:p w:rsidR="00CD1CAE" w:rsidRDefault="00CD1CAE" w:rsidP="00CD1CAE">
      <w:pPr>
        <w:pStyle w:val="Default"/>
        <w:spacing w:line="276" w:lineRule="auto"/>
        <w:ind w:left="1416"/>
        <w:rPr>
          <w:sz w:val="20"/>
          <w:szCs w:val="20"/>
        </w:rPr>
      </w:pPr>
    </w:p>
    <w:p w:rsidR="00CD1CAE" w:rsidRDefault="002217B3" w:rsidP="00CD1CAE">
      <w:pPr>
        <w:pStyle w:val="Default"/>
        <w:spacing w:line="276" w:lineRule="auto"/>
        <w:ind w:left="1416"/>
        <w:rPr>
          <w:sz w:val="20"/>
          <w:szCs w:val="20"/>
        </w:rPr>
      </w:pPr>
      <w:r>
        <w:rPr>
          <w:sz w:val="20"/>
          <w:szCs w:val="20"/>
        </w:rPr>
        <w:t xml:space="preserve">(2) Das </w:t>
      </w:r>
      <w:r>
        <w:rPr>
          <w:b/>
          <w:bCs/>
          <w:sz w:val="20"/>
          <w:szCs w:val="20"/>
        </w:rPr>
        <w:t xml:space="preserve">Herbeirufen polizeilicher oder privater Hilfe </w:t>
      </w:r>
      <w:r>
        <w:rPr>
          <w:sz w:val="20"/>
          <w:szCs w:val="20"/>
        </w:rPr>
        <w:t>ist dem Angegriffenen zuzumuten, wenn dies ohne sonderliche Mühe und ohne Risiko möglich ist.</w:t>
      </w:r>
    </w:p>
    <w:p w:rsidR="00CD1CAE" w:rsidRDefault="00CD1CAE" w:rsidP="00CD1CAE">
      <w:pPr>
        <w:pStyle w:val="Default"/>
        <w:spacing w:line="276" w:lineRule="auto"/>
        <w:ind w:left="1416"/>
        <w:rPr>
          <w:sz w:val="20"/>
          <w:szCs w:val="20"/>
        </w:rPr>
      </w:pPr>
    </w:p>
    <w:p w:rsidR="00CD1CAE" w:rsidRDefault="002217B3" w:rsidP="00CD1CAE">
      <w:pPr>
        <w:pStyle w:val="Default"/>
        <w:spacing w:line="276" w:lineRule="auto"/>
        <w:ind w:left="1416"/>
        <w:rPr>
          <w:sz w:val="20"/>
          <w:szCs w:val="20"/>
        </w:rPr>
      </w:pPr>
      <w:r>
        <w:rPr>
          <w:sz w:val="20"/>
          <w:szCs w:val="20"/>
        </w:rPr>
        <w:t xml:space="preserve">(3) </w:t>
      </w:r>
      <w:r>
        <w:rPr>
          <w:b/>
          <w:bCs/>
          <w:sz w:val="20"/>
          <w:szCs w:val="20"/>
        </w:rPr>
        <w:t xml:space="preserve">Gegenüber Beleidigungen </w:t>
      </w:r>
      <w:r>
        <w:rPr>
          <w:sz w:val="20"/>
          <w:szCs w:val="20"/>
        </w:rPr>
        <w:t>ist in der Regel keine tätliche Abwehr zulässig.</w:t>
      </w:r>
    </w:p>
    <w:p w:rsidR="00CD1CAE" w:rsidRDefault="00CD1CAE" w:rsidP="00CD1CAE">
      <w:pPr>
        <w:pStyle w:val="Default"/>
        <w:spacing w:line="276" w:lineRule="auto"/>
        <w:ind w:left="1416"/>
        <w:rPr>
          <w:sz w:val="20"/>
          <w:szCs w:val="20"/>
        </w:rPr>
      </w:pPr>
    </w:p>
    <w:p w:rsidR="00CD1CAE" w:rsidRDefault="002217B3" w:rsidP="00CD1CAE">
      <w:pPr>
        <w:pStyle w:val="Default"/>
        <w:spacing w:line="276" w:lineRule="auto"/>
        <w:ind w:left="1416"/>
        <w:rPr>
          <w:sz w:val="20"/>
          <w:szCs w:val="20"/>
        </w:rPr>
      </w:pPr>
      <w:r>
        <w:rPr>
          <w:sz w:val="20"/>
          <w:szCs w:val="20"/>
        </w:rPr>
        <w:t xml:space="preserve">(4) Notwehr ist </w:t>
      </w:r>
      <w:r>
        <w:rPr>
          <w:b/>
          <w:bCs/>
          <w:sz w:val="20"/>
          <w:szCs w:val="20"/>
        </w:rPr>
        <w:t xml:space="preserve">nicht zulässig, </w:t>
      </w:r>
      <w:r>
        <w:rPr>
          <w:sz w:val="20"/>
          <w:szCs w:val="20"/>
        </w:rPr>
        <w:t xml:space="preserve">wenn einem Angriff ohne zumutbare Preisgabe eigener Interessen verteidigungslos ausgewichen werden kann. </w:t>
      </w:r>
    </w:p>
    <w:p w:rsidR="00CD1CAE" w:rsidRDefault="00CD1CAE" w:rsidP="00CD1CAE">
      <w:pPr>
        <w:pStyle w:val="Default"/>
        <w:spacing w:line="276" w:lineRule="auto"/>
        <w:ind w:left="1416"/>
        <w:rPr>
          <w:sz w:val="20"/>
          <w:szCs w:val="20"/>
        </w:rPr>
      </w:pPr>
    </w:p>
    <w:p w:rsidR="00660EE5" w:rsidRDefault="002217B3" w:rsidP="00CD1CAE">
      <w:pPr>
        <w:pStyle w:val="Default"/>
        <w:spacing w:line="276" w:lineRule="auto"/>
        <w:ind w:left="1416"/>
      </w:pPr>
      <w:r>
        <w:rPr>
          <w:sz w:val="20"/>
          <w:szCs w:val="20"/>
        </w:rPr>
        <w:t xml:space="preserve">(5) </w:t>
      </w:r>
      <w:r>
        <w:rPr>
          <w:b/>
          <w:bCs/>
          <w:sz w:val="20"/>
          <w:szCs w:val="20"/>
        </w:rPr>
        <w:t xml:space="preserve">Angriffe von Betrunkenen: </w:t>
      </w:r>
      <w:r>
        <w:rPr>
          <w:sz w:val="20"/>
          <w:szCs w:val="20"/>
        </w:rPr>
        <w:t xml:space="preserve">Hier ist das Notwehrrecht erheblich eingeschränkt. Der Angegriffene hat ein erhöhtes Risiko in Kauf zu nehmen. U.U. kann es in diesem Fall geboten sein, auf Abwehr zu verzichten. Ansonsten </w:t>
      </w:r>
      <w:r w:rsidR="00CD1CAE">
        <w:rPr>
          <w:sz w:val="20"/>
          <w:szCs w:val="20"/>
        </w:rPr>
        <w:t>muss</w:t>
      </w:r>
      <w:r>
        <w:rPr>
          <w:sz w:val="20"/>
          <w:szCs w:val="20"/>
        </w:rPr>
        <w:t xml:space="preserve"> zunächst versucht werden, die Gegenwehr auf rein defensive Abwehrhandlungen zu beschränken. Erst wenn alle derartigen Möglichkeiten ausgenutzt worden sind, darf der Angegriffene Abwehr in Form eines Gegenangriffs leisten. Ist ein Ausweichen aber nicht mehr möglich, so darf die durch die Verteidigung herbeigeführte Verletzung nicht außer Verhältnis zu dem von dem Angreifer drohenden Schaden stehen.</w:t>
      </w:r>
    </w:p>
    <w:sectPr w:rsidR="00660EE5" w:rsidSect="005F6EBB">
      <w:head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7B3" w:rsidRDefault="002217B3" w:rsidP="002217B3">
      <w:r>
        <w:separator/>
      </w:r>
    </w:p>
  </w:endnote>
  <w:endnote w:type="continuationSeparator" w:id="0">
    <w:p w:rsidR="002217B3" w:rsidRDefault="002217B3" w:rsidP="002217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7B3" w:rsidRDefault="002217B3" w:rsidP="002217B3">
      <w:r>
        <w:separator/>
      </w:r>
    </w:p>
  </w:footnote>
  <w:footnote w:type="continuationSeparator" w:id="0">
    <w:p w:rsidR="002217B3" w:rsidRDefault="002217B3" w:rsidP="002217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7B3" w:rsidRDefault="002217B3">
    <w:pPr>
      <w:pStyle w:val="Kopfzeile"/>
    </w:pPr>
    <w:r>
      <w:t xml:space="preserve">Anlage </w:t>
    </w:r>
    <w:r w:rsidR="00CD1CAE">
      <w:t>5</w:t>
    </w:r>
    <w:r>
      <w:tab/>
    </w:r>
    <w:r>
      <w:tab/>
    </w:r>
    <w:r w:rsidRPr="002217B3">
      <w:rPr>
        <w:noProof/>
        <w:lang w:eastAsia="de-DE"/>
      </w:rPr>
      <w:drawing>
        <wp:inline distT="0" distB="0" distL="0" distR="0">
          <wp:extent cx="1247775" cy="209550"/>
          <wp:effectExtent l="19050" t="0" r="0" b="0"/>
          <wp:docPr id="2" name="Objek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832648" cy="1152128"/>
                    <a:chOff x="1691680" y="2492896"/>
                    <a:chExt cx="5832648" cy="1152128"/>
                  </a:xfrm>
                </a:grpSpPr>
                <a:grpSp>
                  <a:nvGrpSpPr>
                    <a:cNvPr id="8" name="Gruppieren 7"/>
                    <a:cNvGrpSpPr/>
                  </a:nvGrpSpPr>
                  <a:grpSpPr>
                    <a:xfrm>
                      <a:off x="1691680" y="2492896"/>
                      <a:ext cx="5832648" cy="1152128"/>
                      <a:chOff x="1691680" y="2492896"/>
                      <a:chExt cx="5832648" cy="1152128"/>
                    </a:xfrm>
                  </a:grpSpPr>
                  <a:pic>
                    <a:nvPicPr>
                      <a:cNvPr id="2" name="Grafik 1" descr="Logo_jc_sizeA_sub1.eps"/>
                      <a:cNvPicPr>
                        <a:picLocks noChangeAspect="1"/>
                      </a:cNvPicPr>
                    </a:nvPicPr>
                    <a:blipFill>
                      <a:blip r:embed="rId1" cstate="print"/>
                      <a:stretch>
                        <a:fillRect/>
                      </a:stretch>
                    </a:blipFill>
                    <a:spPr>
                      <a:xfrm>
                        <a:off x="1691680" y="2564904"/>
                        <a:ext cx="4181475" cy="1076325"/>
                      </a:xfrm>
                      <a:prstGeom prst="rect">
                        <a:avLst/>
                      </a:prstGeom>
                    </a:spPr>
                  </a:pic>
                  <a:sp>
                    <a:nvSpPr>
                      <a:cNvPr id="3" name="Rechteck 2"/>
                      <a:cNvSpPr/>
                    </a:nvSpPr>
                    <a:spPr>
                      <a:xfrm>
                        <a:off x="3491880" y="3284984"/>
                        <a:ext cx="2511896" cy="360040"/>
                      </a:xfrm>
                      <a:prstGeom prst="rect">
                        <a:avLst/>
                      </a:prstGeom>
                      <a:solidFill>
                        <a:schemeClr val="bg1"/>
                      </a:solidFill>
                      <a:ln>
                        <a:noFill/>
                      </a:ln>
                    </a:spPr>
                    <a:txSp>
                      <a:txBody>
                        <a:bodyPr rtlCol="0" anchor="ctr"/>
                        <a:lstStyle>
                          <a:defPPr>
                            <a:defRPr lang="de-DE"/>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de-DE" b="1" dirty="0" smtClean="0">
                              <a:solidFill>
                                <a:schemeClr val="tx1"/>
                              </a:solidFill>
                            </a:rPr>
                            <a:t>  Oberspreewald-Lausitz</a:t>
                          </a:r>
                          <a:endParaRPr lang="de-DE"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pic>
                    <a:nvPicPr>
                      <a:cNvPr id="5" name="Picture 7" descr="AA_Logo_100x100_72dpi_rgb"/>
                      <a:cNvPicPr>
                        <a:picLocks noChangeAspect="1" noChangeArrowheads="1"/>
                      </a:cNvPicPr>
                    </a:nvPicPr>
                    <a:blipFill>
                      <a:blip r:embed="rId2" cstate="print"/>
                      <a:srcRect/>
                      <a:stretch>
                        <a:fillRect/>
                      </a:stretch>
                    </a:blipFill>
                    <a:spPr bwMode="auto">
                      <a:xfrm>
                        <a:off x="5940152" y="2636912"/>
                        <a:ext cx="720080" cy="720080"/>
                      </a:xfrm>
                      <a:prstGeom prst="rect">
                        <a:avLst/>
                      </a:prstGeom>
                      <a:noFill/>
                      <a:ln w="9525">
                        <a:noFill/>
                        <a:miter lim="800000"/>
                        <a:headEnd/>
                        <a:tailEnd/>
                      </a:ln>
                    </a:spPr>
                  </a:pic>
                  <a:pic>
                    <a:nvPicPr>
                      <a:cNvPr id="6" name="Picture 33" descr="OSL-Wappen"/>
                      <a:cNvPicPr>
                        <a:picLocks noChangeAspect="1" noChangeArrowheads="1"/>
                      </a:cNvPicPr>
                    </a:nvPicPr>
                    <a:blipFill>
                      <a:blip r:embed="rId3" cstate="print"/>
                      <a:srcRect/>
                      <a:stretch>
                        <a:fillRect/>
                      </a:stretch>
                    </a:blipFill>
                    <a:spPr bwMode="auto">
                      <a:xfrm>
                        <a:off x="6732240" y="2564904"/>
                        <a:ext cx="792088" cy="883379"/>
                      </a:xfrm>
                      <a:prstGeom prst="rect">
                        <a:avLst/>
                      </a:prstGeom>
                      <a:noFill/>
                      <a:ln w="9525">
                        <a:noFill/>
                        <a:miter lim="800000"/>
                        <a:headEnd/>
                        <a:tailEnd/>
                      </a:ln>
                    </a:spPr>
                  </a:pic>
                  <a:sp>
                    <a:nvSpPr>
                      <a:cNvPr id="7" name="Flussdiagramm: Verbindungsstelle 6"/>
                      <a:cNvSpPr/>
                    </a:nvSpPr>
                    <a:spPr>
                      <a:xfrm>
                        <a:off x="1763688" y="2492896"/>
                        <a:ext cx="216024" cy="216024"/>
                      </a:xfrm>
                      <a:prstGeom prst="flowChartConnector">
                        <a:avLst/>
                      </a:prstGeom>
                      <a:solidFill>
                        <a:srgbClr val="FF0000"/>
                      </a:solidFill>
                      <a:ln>
                        <a:noFill/>
                      </a:ln>
                    </a:spPr>
                    <a:txSp>
                      <a:txBody>
                        <a:bodyPr rtlCol="0" anchor="ctr"/>
                        <a:lstStyle>
                          <a:defPPr>
                            <a:defRPr lang="de-DE"/>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de-DE"/>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6pt;height:6.6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7">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num w:numId="1">
    <w:abstractNumId w:val="4"/>
  </w:num>
  <w:num w:numId="2">
    <w:abstractNumId w:val="7"/>
  </w:num>
  <w:num w:numId="3">
    <w:abstractNumId w:val="3"/>
  </w:num>
  <w:num w:numId="4">
    <w:abstractNumId w:val="6"/>
  </w:num>
  <w:num w:numId="5">
    <w:abstractNumId w:val="2"/>
  </w:num>
  <w:num w:numId="6">
    <w:abstractNumId w:val="2"/>
  </w:num>
  <w:num w:numId="7">
    <w:abstractNumId w:val="1"/>
  </w:num>
  <w:num w:numId="8">
    <w:abstractNumId w:val="1"/>
  </w:num>
  <w:num w:numId="9">
    <w:abstractNumId w:val="0"/>
  </w:num>
  <w:num w:numId="10">
    <w:abstractNumId w:val="0"/>
  </w:num>
  <w:num w:numId="11">
    <w:abstractNumId w:val="7"/>
  </w:num>
  <w:num w:numId="12">
    <w:abstractNumId w:val="6"/>
  </w:num>
  <w:num w:numId="13">
    <w:abstractNumId w:val="2"/>
  </w:num>
  <w:num w:numId="14">
    <w:abstractNumId w:val="1"/>
  </w:num>
  <w:num w:numId="15">
    <w:abstractNumId w:val="0"/>
  </w:num>
  <w:num w:numId="16">
    <w:abstractNumId w:val="7"/>
  </w:num>
  <w:num w:numId="17">
    <w:abstractNumId w:val="6"/>
  </w:num>
  <w:num w:numId="18">
    <w:abstractNumId w:val="2"/>
  </w:num>
  <w:num w:numId="19">
    <w:abstractNumId w:val="1"/>
  </w:num>
  <w:num w:numId="20">
    <w:abstractNumId w:val="0"/>
  </w:num>
  <w:num w:numId="21">
    <w:abstractNumId w:val="7"/>
  </w:num>
  <w:num w:numId="22">
    <w:abstractNumId w:val="6"/>
  </w:num>
  <w:num w:numId="23">
    <w:abstractNumId w:val="2"/>
  </w:num>
  <w:num w:numId="24">
    <w:abstractNumId w:val="1"/>
  </w:num>
  <w:num w:numId="25">
    <w:abstractNumId w:val="0"/>
  </w:num>
  <w:num w:numId="26">
    <w:abstractNumId w:val="7"/>
  </w:num>
  <w:num w:numId="27">
    <w:abstractNumId w:val="6"/>
  </w:num>
  <w:num w:numId="28">
    <w:abstractNumId w:val="2"/>
  </w:num>
  <w:num w:numId="29">
    <w:abstractNumId w:val="1"/>
  </w:num>
  <w:num w:numId="30">
    <w:abstractNumId w:val="0"/>
  </w:num>
  <w:num w:numId="3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revisionView w:inkAnnotations="0"/>
  <w:defaultTabStop w:val="708"/>
  <w:hyphenationZone w:val="425"/>
  <w:characterSpacingControl w:val="doNotCompress"/>
  <w:footnotePr>
    <w:footnote w:id="-1"/>
    <w:footnote w:id="0"/>
  </w:footnotePr>
  <w:endnotePr>
    <w:endnote w:id="-1"/>
    <w:endnote w:id="0"/>
  </w:endnotePr>
  <w:compat/>
  <w:rsids>
    <w:rsidRoot w:val="00D2241D"/>
    <w:rsid w:val="002155B6"/>
    <w:rsid w:val="002217B3"/>
    <w:rsid w:val="002E3383"/>
    <w:rsid w:val="003D29B0"/>
    <w:rsid w:val="003D2CAB"/>
    <w:rsid w:val="0041163E"/>
    <w:rsid w:val="00425B6F"/>
    <w:rsid w:val="00472DDE"/>
    <w:rsid w:val="0051225E"/>
    <w:rsid w:val="005F6EBB"/>
    <w:rsid w:val="00643E50"/>
    <w:rsid w:val="00660EE5"/>
    <w:rsid w:val="0067609C"/>
    <w:rsid w:val="00736B52"/>
    <w:rsid w:val="007D1808"/>
    <w:rsid w:val="009F33F9"/>
    <w:rsid w:val="00B35284"/>
    <w:rsid w:val="00CD1CAE"/>
    <w:rsid w:val="00D2241D"/>
    <w:rsid w:val="00D336C0"/>
    <w:rsid w:val="00D47659"/>
    <w:rsid w:val="00D91B37"/>
    <w:rsid w:val="00E80BF9"/>
    <w:rsid w:val="00F2619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5F6EBB"/>
    <w:pPr>
      <w:spacing w:after="0" w:line="240" w:lineRule="auto"/>
    </w:pPr>
    <w:rPr>
      <w:rFonts w:ascii="Arial" w:hAnsi="Arial"/>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 w:val="24"/>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style>
  <w:style w:type="paragraph" w:styleId="Sprechblasentext">
    <w:name w:val="Balloon Text"/>
    <w:basedOn w:val="Standard"/>
    <w:link w:val="SprechblasentextZchn"/>
    <w:uiPriority w:val="99"/>
    <w:semiHidden/>
    <w:unhideWhenUsed/>
    <w:rsid w:val="00D2241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2241D"/>
    <w:rPr>
      <w:rFonts w:ascii="Tahoma" w:hAnsi="Tahoma" w:cs="Tahoma"/>
      <w:sz w:val="16"/>
      <w:szCs w:val="16"/>
    </w:rPr>
  </w:style>
  <w:style w:type="paragraph" w:customStyle="1" w:styleId="Default">
    <w:name w:val="Default"/>
    <w:rsid w:val="002217B3"/>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iPriority w:val="99"/>
    <w:semiHidden/>
    <w:unhideWhenUsed/>
    <w:rsid w:val="002217B3"/>
    <w:pPr>
      <w:tabs>
        <w:tab w:val="center" w:pos="4536"/>
        <w:tab w:val="right" w:pos="9072"/>
      </w:tabs>
    </w:pPr>
  </w:style>
  <w:style w:type="character" w:customStyle="1" w:styleId="KopfzeileZchn">
    <w:name w:val="Kopfzeile Zchn"/>
    <w:basedOn w:val="Absatz-Standardschriftart"/>
    <w:link w:val="Kopfzeile"/>
    <w:uiPriority w:val="99"/>
    <w:semiHidden/>
    <w:rsid w:val="002217B3"/>
    <w:rPr>
      <w:rFonts w:ascii="Arial" w:hAnsi="Arial"/>
    </w:rPr>
  </w:style>
  <w:style w:type="paragraph" w:styleId="Fuzeile">
    <w:name w:val="footer"/>
    <w:basedOn w:val="Standard"/>
    <w:link w:val="FuzeileZchn"/>
    <w:uiPriority w:val="99"/>
    <w:semiHidden/>
    <w:unhideWhenUsed/>
    <w:rsid w:val="002217B3"/>
    <w:pPr>
      <w:tabs>
        <w:tab w:val="center" w:pos="4536"/>
        <w:tab w:val="right" w:pos="9072"/>
      </w:tabs>
    </w:pPr>
  </w:style>
  <w:style w:type="character" w:customStyle="1" w:styleId="FuzeileZchn">
    <w:name w:val="Fußzeile Zchn"/>
    <w:basedOn w:val="Absatz-Standardschriftart"/>
    <w:link w:val="Fuzeile"/>
    <w:uiPriority w:val="99"/>
    <w:semiHidden/>
    <w:rsid w:val="002217B3"/>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424</Words>
  <Characters>2674</Characters>
  <Application>Microsoft Office Word</Application>
  <DocSecurity>0</DocSecurity>
  <Lines>22</Lines>
  <Paragraphs>6</Paragraphs>
  <ScaleCrop>false</ScaleCrop>
  <Company>Bundesagentur für Arbeit</Company>
  <LinksUpToDate>false</LinksUpToDate>
  <CharactersWithSpaces>3092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patanr</dc:creator>
  <cp:lastModifiedBy>RechenbeB</cp:lastModifiedBy>
  <cp:revision>2</cp:revision>
  <cp:lastPrinted>2012-03-07T11:11:00Z</cp:lastPrinted>
  <dcterms:created xsi:type="dcterms:W3CDTF">2013-04-03T14:12:00Z</dcterms:created>
  <dcterms:modified xsi:type="dcterms:W3CDTF">2013-04-03T14:12:00Z</dcterms:modified>
</cp:coreProperties>
</file>